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山西鑫泽国际旅行社有限公司官渡西派分公司团队/散客确认书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民生旅游 王清荣</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王清荣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13908879873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XJ116FJ250603A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大疆南北双飞16日（缪清12月28日，做会）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18(18大)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1、龙华</w:t>
            </w:r>
          </w:p>
        </w:tc>
        <w:tc>
          <w:tcPr>
            <w:tcW w:w="2310" w:type="dxa"/>
            <w:vAlign w:val="center"/>
            <w:gridSpan w:val="2"/>
          </w:tcPr>
          <w:p>
            <w:pPr/>
            <w:r>
              <w:rPr>
                <w:lang w:val="zh-CN"/>
                <w:rFonts w:ascii="Times New Roman" w:hAnsi="Times New Roman" w:cs="Times New Roman"/>
                <w:sz w:val="20"/>
                <w:szCs w:val="20"/>
                <w:color w:val="000000"/>
              </w:rPr>
              <w:t>530111196203311120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2、唐贵芬</w:t>
            </w:r>
          </w:p>
        </w:tc>
        <w:tc>
          <w:tcPr>
            <w:tcW w:w="2310" w:type="dxa"/>
            <w:vAlign w:val="center"/>
            <w:gridSpan w:val="2"/>
          </w:tcPr>
          <w:p>
            <w:pPr/>
            <w:r>
              <w:rPr>
                <w:lang w:val="zh-CN"/>
                <w:rFonts w:ascii="Times New Roman" w:hAnsi="Times New Roman" w:cs="Times New Roman"/>
                <w:sz w:val="20"/>
                <w:szCs w:val="20"/>
                <w:color w:val="000000"/>
              </w:rPr>
              <w:t>530111196103281120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3、孙美华</w:t>
            </w:r>
          </w:p>
        </w:tc>
        <w:tc>
          <w:tcPr>
            <w:tcW w:w="2310" w:type="dxa"/>
            <w:vAlign w:val="center"/>
            <w:gridSpan w:val="2"/>
          </w:tcPr>
          <w:p>
            <w:pPr/>
            <w:r>
              <w:rPr>
                <w:lang w:val="zh-CN"/>
                <w:rFonts w:ascii="Times New Roman" w:hAnsi="Times New Roman" w:cs="Times New Roman"/>
                <w:sz w:val="20"/>
                <w:szCs w:val="20"/>
                <w:color w:val="000000"/>
              </w:rPr>
              <w:t>530102196206230020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4、翟啟云</w:t>
            </w:r>
          </w:p>
        </w:tc>
        <w:tc>
          <w:tcPr>
            <w:tcW w:w="2310" w:type="dxa"/>
            <w:vAlign w:val="center"/>
            <w:gridSpan w:val="2"/>
          </w:tcPr>
          <w:p>
            <w:pPr/>
            <w:r>
              <w:rPr>
                <w:lang w:val="zh-CN"/>
                <w:rFonts w:ascii="Times New Roman" w:hAnsi="Times New Roman" w:cs="Times New Roman"/>
                <w:sz w:val="20"/>
                <w:szCs w:val="20"/>
                <w:color w:val="000000"/>
              </w:rPr>
              <w:t>530103195612052532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5、孙丽琼</w:t>
            </w:r>
          </w:p>
        </w:tc>
        <w:tc>
          <w:tcPr>
            <w:tcW w:w="2310" w:type="dxa"/>
            <w:vAlign w:val="center"/>
            <w:gridSpan w:val="2"/>
          </w:tcPr>
          <w:p>
            <w:pPr/>
            <w:r>
              <w:rPr>
                <w:lang w:val="zh-CN"/>
                <w:rFonts w:ascii="Times New Roman" w:hAnsi="Times New Roman" w:cs="Times New Roman"/>
                <w:sz w:val="20"/>
                <w:szCs w:val="20"/>
                <w:color w:val="000000"/>
              </w:rPr>
              <w:t>533527196603050068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6、李跃年</w:t>
            </w:r>
          </w:p>
        </w:tc>
        <w:tc>
          <w:tcPr>
            <w:tcW w:w="2310" w:type="dxa"/>
            <w:vAlign w:val="center"/>
            <w:gridSpan w:val="2"/>
          </w:tcPr>
          <w:p>
            <w:pPr/>
            <w:r>
              <w:rPr>
                <w:lang w:val="zh-CN"/>
                <w:rFonts w:ascii="Times New Roman" w:hAnsi="Times New Roman" w:cs="Times New Roman"/>
                <w:sz w:val="20"/>
                <w:szCs w:val="20"/>
                <w:color w:val="000000"/>
              </w:rPr>
              <w:t>530102195808162737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7、朱洪彦</w:t>
            </w:r>
          </w:p>
        </w:tc>
        <w:tc>
          <w:tcPr>
            <w:tcW w:w="2310" w:type="dxa"/>
            <w:vAlign w:val="center"/>
            <w:gridSpan w:val="2"/>
          </w:tcPr>
          <w:p>
            <w:pPr/>
            <w:r>
              <w:rPr>
                <w:lang w:val="zh-CN"/>
                <w:rFonts w:ascii="Times New Roman" w:hAnsi="Times New Roman" w:cs="Times New Roman"/>
                <w:sz w:val="20"/>
                <w:szCs w:val="20"/>
                <w:color w:val="000000"/>
              </w:rPr>
              <w:t>530103195104273320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8、李丽仙</w:t>
            </w:r>
          </w:p>
        </w:tc>
        <w:tc>
          <w:tcPr>
            <w:tcW w:w="2310" w:type="dxa"/>
            <w:vAlign w:val="center"/>
            <w:gridSpan w:val="2"/>
          </w:tcPr>
          <w:p>
            <w:pPr/>
            <w:r>
              <w:rPr>
                <w:lang w:val="zh-CN"/>
                <w:rFonts w:ascii="Times New Roman" w:hAnsi="Times New Roman" w:cs="Times New Roman"/>
                <w:sz w:val="20"/>
                <w:szCs w:val="20"/>
                <w:color w:val="000000"/>
              </w:rPr>
              <w:t>530103195201282923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9、孙丽红</w:t>
            </w:r>
          </w:p>
        </w:tc>
        <w:tc>
          <w:tcPr>
            <w:tcW w:w="2310" w:type="dxa"/>
            <w:vAlign w:val="center"/>
            <w:gridSpan w:val="2"/>
          </w:tcPr>
          <w:p>
            <w:pPr/>
            <w:r>
              <w:rPr>
                <w:lang w:val="zh-CN"/>
                <w:rFonts w:ascii="Times New Roman" w:hAnsi="Times New Roman" w:cs="Times New Roman"/>
                <w:sz w:val="20"/>
                <w:szCs w:val="20"/>
                <w:color w:val="000000"/>
              </w:rPr>
              <w:t>53011119680815042X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10、李丽萍</w:t>
            </w:r>
          </w:p>
        </w:tc>
        <w:tc>
          <w:tcPr>
            <w:tcW w:w="2310" w:type="dxa"/>
            <w:vAlign w:val="center"/>
            <w:gridSpan w:val="2"/>
          </w:tcPr>
          <w:p>
            <w:pPr/>
            <w:r>
              <w:rPr>
                <w:lang w:val="zh-CN"/>
                <w:rFonts w:ascii="Times New Roman" w:hAnsi="Times New Roman" w:cs="Times New Roman"/>
                <w:sz w:val="20"/>
                <w:szCs w:val="20"/>
                <w:color w:val="000000"/>
              </w:rPr>
              <w:t>530102196202112721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11、黄祖慈</w:t>
            </w:r>
          </w:p>
        </w:tc>
        <w:tc>
          <w:tcPr>
            <w:tcW w:w="2310" w:type="dxa"/>
            <w:vAlign w:val="center"/>
            <w:gridSpan w:val="2"/>
          </w:tcPr>
          <w:p>
            <w:pPr/>
            <w:r>
              <w:rPr>
                <w:lang w:val="zh-CN"/>
                <w:rFonts w:ascii="Times New Roman" w:hAnsi="Times New Roman" w:cs="Times New Roman"/>
                <w:sz w:val="20"/>
                <w:szCs w:val="20"/>
                <w:color w:val="000000"/>
              </w:rPr>
              <w:t>530103194909110014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12、张泓</w:t>
            </w:r>
          </w:p>
        </w:tc>
        <w:tc>
          <w:tcPr>
            <w:tcW w:w="2310" w:type="dxa"/>
            <w:vAlign w:val="center"/>
            <w:gridSpan w:val="2"/>
          </w:tcPr>
          <w:p>
            <w:pPr/>
            <w:r>
              <w:rPr>
                <w:lang w:val="zh-CN"/>
                <w:rFonts w:ascii="Times New Roman" w:hAnsi="Times New Roman" w:cs="Times New Roman"/>
                <w:sz w:val="20"/>
                <w:szCs w:val="20"/>
                <w:color w:val="000000"/>
              </w:rPr>
              <w:t>530111195012231115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13、王志刚</w:t>
            </w:r>
          </w:p>
        </w:tc>
        <w:tc>
          <w:tcPr>
            <w:tcW w:w="2310" w:type="dxa"/>
            <w:vAlign w:val="center"/>
            <w:gridSpan w:val="2"/>
          </w:tcPr>
          <w:p>
            <w:pPr/>
            <w:r>
              <w:rPr>
                <w:lang w:val="zh-CN"/>
                <w:rFonts w:ascii="Times New Roman" w:hAnsi="Times New Roman" w:cs="Times New Roman"/>
                <w:sz w:val="20"/>
                <w:szCs w:val="20"/>
                <w:color w:val="000000"/>
              </w:rPr>
              <w:t>530111195511280819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14、管慧云</w:t>
            </w:r>
          </w:p>
        </w:tc>
        <w:tc>
          <w:tcPr>
            <w:tcW w:w="2310" w:type="dxa"/>
            <w:vAlign w:val="center"/>
            <w:gridSpan w:val="2"/>
          </w:tcPr>
          <w:p>
            <w:pPr/>
            <w:r>
              <w:rPr>
                <w:lang w:val="zh-CN"/>
                <w:rFonts w:ascii="Times New Roman" w:hAnsi="Times New Roman" w:cs="Times New Roman"/>
                <w:sz w:val="20"/>
                <w:szCs w:val="20"/>
                <w:color w:val="000000"/>
              </w:rPr>
              <w:t>530103195410010385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15、蒲党森</w:t>
            </w:r>
          </w:p>
        </w:tc>
        <w:tc>
          <w:tcPr>
            <w:tcW w:w="2310" w:type="dxa"/>
            <w:vAlign w:val="center"/>
            <w:gridSpan w:val="2"/>
          </w:tcPr>
          <w:p>
            <w:pPr/>
            <w:r>
              <w:rPr>
                <w:lang w:val="zh-CN"/>
                <w:rFonts w:ascii="Times New Roman" w:hAnsi="Times New Roman" w:cs="Times New Roman"/>
                <w:sz w:val="20"/>
                <w:szCs w:val="20"/>
                <w:color w:val="000000"/>
              </w:rPr>
              <w:t>530103195812240917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16、黄翠琼</w:t>
            </w:r>
          </w:p>
        </w:tc>
        <w:tc>
          <w:tcPr>
            <w:tcW w:w="2310" w:type="dxa"/>
            <w:vAlign w:val="center"/>
            <w:gridSpan w:val="2"/>
          </w:tcPr>
          <w:p>
            <w:pPr/>
            <w:r>
              <w:rPr>
                <w:lang w:val="zh-CN"/>
                <w:rFonts w:ascii="Times New Roman" w:hAnsi="Times New Roman" w:cs="Times New Roman"/>
                <w:sz w:val="20"/>
                <w:szCs w:val="20"/>
                <w:color w:val="000000"/>
              </w:rPr>
              <w:t>530102196106031147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17、角红芳</w:t>
            </w:r>
          </w:p>
        </w:tc>
        <w:tc>
          <w:tcPr>
            <w:tcW w:w="2310" w:type="dxa"/>
            <w:vAlign w:val="center"/>
            <w:gridSpan w:val="2"/>
          </w:tcPr>
          <w:p>
            <w:pPr/>
            <w:r>
              <w:rPr>
                <w:lang w:val="zh-CN"/>
                <w:rFonts w:ascii="Times New Roman" w:hAnsi="Times New Roman" w:cs="Times New Roman"/>
                <w:sz w:val="20"/>
                <w:szCs w:val="20"/>
                <w:color w:val="000000"/>
              </w:rPr>
              <w:t>532223196812080068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18、王玉莲</w:t>
            </w:r>
          </w:p>
        </w:tc>
        <w:tc>
          <w:tcPr>
            <w:tcW w:w="2310" w:type="dxa"/>
            <w:vAlign w:val="center"/>
            <w:gridSpan w:val="2"/>
          </w:tcPr>
          <w:p>
            <w:pPr/>
            <w:r>
              <w:rPr>
                <w:lang w:val="zh-CN"/>
                <w:rFonts w:ascii="Times New Roman" w:hAnsi="Times New Roman" w:cs="Times New Roman"/>
                <w:sz w:val="20"/>
                <w:szCs w:val="20"/>
                <w:color w:val="000000"/>
              </w:rPr>
              <w:t>530103196105121227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19、田学云</w:t>
            </w:r>
          </w:p>
        </w:tc>
        <w:tc>
          <w:tcPr>
            <w:tcW w:w="2310" w:type="dxa"/>
            <w:vAlign w:val="center"/>
            <w:gridSpan w:val="2"/>
          </w:tcPr>
          <w:p>
            <w:pPr/>
            <w:r>
              <w:rPr>
                <w:lang w:val="zh-CN"/>
                <w:rFonts w:ascii="Times New Roman" w:hAnsi="Times New Roman" w:cs="Times New Roman"/>
                <w:sz w:val="20"/>
                <w:szCs w:val="20"/>
                <w:color w:val="000000"/>
              </w:rPr>
              <w:t>530113195509280011</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18</w:t>
            </w:r>
          </w:p>
        </w:tc>
        <w:tc>
          <w:tcPr>
            <w:tcW w:w="2310" w:type="dxa"/>
          </w:tcPr>
          <w:p>
            <w:pPr/>
            <w:r>
              <w:rPr>
                <w:lang w:val="zh-CN"/>
                <w:rFonts w:ascii="Times New Roman" w:hAnsi="Times New Roman" w:cs="Times New Roman"/>
                <w:sz w:val="20"/>
                <w:szCs w:val="20"/>
                <w:color w:val="000000"/>
              </w:rPr>
              <w:t>6780.00</w:t>
            </w:r>
          </w:p>
        </w:tc>
        <w:tc>
          <w:tcPr>
            <w:tcW w:w="2310" w:type="dxa"/>
          </w:tcPr>
          <w:p>
            <w:pPr/>
            <w:r>
              <w:rPr>
                <w:lang w:val="zh-CN"/>
                <w:rFonts w:ascii="Times New Roman" w:hAnsi="Times New Roman" w:cs="Times New Roman"/>
                <w:sz w:val="20"/>
                <w:szCs w:val="20"/>
                <w:color w:val="000000"/>
              </w:rPr>
              <w:t>122040.00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角红芳退票票损</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2580.00</w:t>
            </w:r>
          </w:p>
        </w:tc>
        <w:tc>
          <w:tcPr>
            <w:tcW w:w="2310" w:type="dxa"/>
          </w:tcPr>
          <w:p>
            <w:pPr/>
            <w:r>
              <w:rPr>
                <w:lang w:val="zh-CN"/>
                <w:rFonts w:ascii="Times New Roman" w:hAnsi="Times New Roman" w:cs="Times New Roman"/>
                <w:sz w:val="20"/>
                <w:szCs w:val="20"/>
                <w:color w:val="000000"/>
              </w:rPr>
              <w:t>2580.00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总金额：壹拾贰万肆仟陆佰贰拾元整</w:t>
            </w:r>
          </w:p>
        </w:tc>
        <w:tc>
          <w:tcPr>
            <w:tcW w:w="2310" w:type="dxa"/>
            <w:textDirection w:val="right"/>
            <w:gridSpan w:val="3"/>
          </w:tcPr>
          <w:p>
            <w:pPr/>
            <w:r>
              <w:rPr>
                <w:lang w:val="zh-CN"/>
                <w:rFonts w:ascii="Times New Roman" w:hAnsi="Times New Roman" w:cs="Times New Roman"/>
                <w:b/>
                <w:color w:val="FF0000"/>
              </w:rPr>
              <w:t>124620.00</w:t>
            </w:r>
          </w:p>
        </w:tc>
      </w:tr>
      <w:tr>
        <w:tc>
          <w:tcPr>
            <w:tcW w:w="2310" w:type="dxa"/>
            <w:gridSpan w:val="8"/>
          </w:tcPr>
          <w:p>
            <w:pPr/>
            <w:r>
              <w:rPr>
                <w:lang w:val="zh-CN"/>
                <w:rFonts w:ascii="Times New Roman" w:hAnsi="Times New Roman" w:cs="Times New Roman"/>
                <w:sz w:val="20"/>
                <w:szCs w:val="20"/>
                <w:color w:val="000000"/>
              </w:rPr>
              <w:t>上中旺系统</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兴业银行股份有限公司昆明高新支行</w:t>
            </w:r>
          </w:p>
        </w:tc>
        <w:tc>
          <w:tcPr>
            <w:tcW w:w="2310" w:type="dxa"/>
            <w:gridSpan w:val="2"/>
          </w:tcPr>
          <w:p>
            <w:pPr/>
            <w:r>
              <w:rPr>
                <w:lang w:val="zh-CN"/>
                <w:rFonts w:ascii="Times New Roman" w:hAnsi="Times New Roman" w:cs="Times New Roman"/>
                <w:sz w:val="20"/>
                <w:szCs w:val="20"/>
                <w:color w:val="000000"/>
              </w:rPr>
              <w:t>山西鑫泽国际旅行社有限公司官渡西派分公司</w:t>
            </w:r>
          </w:p>
        </w:tc>
        <w:tc>
          <w:tcPr>
            <w:tcW w:w="2310" w:type="dxa"/>
            <w:gridSpan w:val="3"/>
          </w:tcPr>
          <w:p>
            <w:pPr/>
            <w:r>
              <w:rPr>
                <w:lang w:val="zh-CN"/>
                <w:rFonts w:ascii="Times New Roman" w:hAnsi="Times New Roman" w:cs="Times New Roman"/>
                <w:sz w:val="20"/>
                <w:szCs w:val="20"/>
                <w:color w:val="000000"/>
              </w:rPr>
              <w:t>471170100100203093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2025/06/03</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昆明乘航班飞往举世闻名的“歌舞之乡、瓜果之乡、金玉之邦 ”—新疆自治区首府【乌鲁木齐】（准葛尔蒙古语   为“优美的牧场”），接机后入住酒店，今天行程结束。（乌鲁木齐机场/乌鲁木齐30公里，正常行驶时间30分钟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2025/06/04</w:t>
            </w:r>
          </w:p>
        </w:tc>
        <w:tc>
          <w:tcPr>
            <w:tcW w:w="2310" w:type="dxa"/>
            <w:gridSpan w:val="7"/>
          </w:tcPr>
          <w:p>
            <w:pPr/>
            <w:r>
              <w:rPr>
                <w:lang w:val="zh-CN"/>
                <w:rFonts w:ascii="Times New Roman" w:hAnsi="Times New Roman" w:cs="Times New Roman"/>
                <w:b/>
                <w:color w:val="000000"/>
              </w:rPr>
              <w:t xml:space="preserve">乌鲁木齐-可可托海-富蕴县/福海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早餐后乘车前往国家5A级景区—【可可托海】，游览结束后返回酒店办理入住。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早餐：含；午餐：含；晚餐：含；住宿：富蕴县/福海</w:t>
            </w:r>
          </w:p>
        </w:tc>
      </w:tr>
      <w:tr>
        <w:tc>
          <w:tcPr>
            <w:tcW w:w="2310" w:type="dxa"/>
            <w:vAlign w:val="center"/>
            <w:vMerge w:val="restart"/>
          </w:tcPr>
          <w:p>
            <w:pPr/>
            <w:r>
              <w:rPr>
                <w:lang w:val="zh-CN"/>
                <w:rFonts w:ascii="Times New Roman" w:hAnsi="Times New Roman" w:cs="Times New Roman"/>
                <w:sz w:val="20"/>
                <w:szCs w:val="20"/>
                <w:color w:val="000000"/>
              </w:rPr>
              <w:t>2025/06/05</w:t>
            </w:r>
          </w:p>
        </w:tc>
        <w:tc>
          <w:tcPr>
            <w:tcW w:w="2310" w:type="dxa"/>
            <w:gridSpan w:val="7"/>
          </w:tcPr>
          <w:p>
            <w:pPr/>
            <w:r>
              <w:rPr>
                <w:lang w:val="zh-CN"/>
                <w:rFonts w:ascii="Times New Roman" w:hAnsi="Times New Roman" w:cs="Times New Roman"/>
                <w:b/>
                <w:color w:val="000000"/>
              </w:rPr>
              <w:t>布尔津/福海-喀纳斯湖（三湾） -贾登峪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早餐后前往【喀纳斯湖风景区】，游览喀纳斯结束后乘车返回酒店。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早餐：含；午餐：含；晚餐：含；住宿：贾登峪/冲乎尔/布尔津/哈巴河</w:t>
            </w:r>
          </w:p>
        </w:tc>
      </w:tr>
      <w:tr>
        <w:tc>
          <w:tcPr>
            <w:tcW w:w="2310" w:type="dxa"/>
            <w:vAlign w:val="center"/>
            <w:vMerge w:val="restart"/>
          </w:tcPr>
          <w:p>
            <w:pPr/>
            <w:r>
              <w:rPr>
                <w:lang w:val="zh-CN"/>
                <w:rFonts w:ascii="Times New Roman" w:hAnsi="Times New Roman" w:cs="Times New Roman"/>
                <w:sz w:val="20"/>
                <w:szCs w:val="20"/>
                <w:color w:val="000000"/>
              </w:rPr>
              <w:t>2025/06/06</w:t>
            </w:r>
          </w:p>
        </w:tc>
        <w:tc>
          <w:tcPr>
            <w:tcW w:w="2310" w:type="dxa"/>
            <w:gridSpan w:val="7"/>
          </w:tcPr>
          <w:p>
            <w:pPr/>
            <w:r>
              <w:rPr>
                <w:lang w:val="zh-CN"/>
                <w:rFonts w:ascii="Times New Roman" w:hAnsi="Times New Roman" w:cs="Times New Roman"/>
                <w:b/>
                <w:color w:val="000000"/>
              </w:rPr>
              <w:t>禾木村-布尔津/北屯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早餐后乘车前往“神的后花园”—【禾木乡】，浏览结束后  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早餐：含；午餐：含；晚餐：含；住宿：布尔津/北屯/哈巴河</w:t>
            </w:r>
          </w:p>
        </w:tc>
      </w:tr>
      <w:tr>
        <w:tc>
          <w:tcPr>
            <w:tcW w:w="2310" w:type="dxa"/>
            <w:vAlign w:val="center"/>
            <w:vMerge w:val="restart"/>
          </w:tcPr>
          <w:p>
            <w:pPr/>
            <w:r>
              <w:rPr>
                <w:lang w:val="zh-CN"/>
                <w:rFonts w:ascii="Times New Roman" w:hAnsi="Times New Roman" w:cs="Times New Roman"/>
                <w:sz w:val="20"/>
                <w:szCs w:val="20"/>
                <w:color w:val="000000"/>
              </w:rPr>
              <w:t>2025/06/07</w:t>
            </w:r>
          </w:p>
        </w:tc>
        <w:tc>
          <w:tcPr>
            <w:tcW w:w="2310" w:type="dxa"/>
            <w:gridSpan w:val="7"/>
          </w:tcPr>
          <w:p>
            <w:pPr/>
            <w:r>
              <w:rPr>
                <w:lang w:val="zh-CN"/>
                <w:rFonts w:ascii="Times New Roman" w:hAnsi="Times New Roman" w:cs="Times New Roman"/>
                <w:b/>
                <w:color w:val="000000"/>
              </w:rPr>
              <w:t>布尔津-五彩滩-网红 S21 国道-乌鲁木齐/昌吉/呼图壁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餐后乘车前往中国唯一注入北冰洋的河流——额尔齐斯河河畔的【五彩滩】，午餐后沿S21沙 漠公路前往五家渠，游览结束后乘车返回酒店。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早餐：含；午餐：含；晚餐：含；住宿：乌鲁木齐/昌吉/呼图壁</w:t>
            </w:r>
          </w:p>
        </w:tc>
      </w:tr>
      <w:tr>
        <w:tc>
          <w:tcPr>
            <w:tcW w:w="2310" w:type="dxa"/>
            <w:vAlign w:val="center"/>
            <w:vMerge w:val="restart"/>
          </w:tcPr>
          <w:p>
            <w:pPr/>
            <w:r>
              <w:rPr>
                <w:lang w:val="zh-CN"/>
                <w:rFonts w:ascii="Times New Roman" w:hAnsi="Times New Roman" w:cs="Times New Roman"/>
                <w:sz w:val="20"/>
                <w:szCs w:val="20"/>
                <w:color w:val="000000"/>
              </w:rPr>
              <w:t>2025/06/08</w:t>
            </w:r>
          </w:p>
        </w:tc>
        <w:tc>
          <w:tcPr>
            <w:tcW w:w="2310" w:type="dxa"/>
            <w:gridSpan w:val="7"/>
          </w:tcPr>
          <w:p>
            <w:pPr/>
            <w:r>
              <w:rPr>
                <w:lang w:val="zh-CN"/>
                <w:rFonts w:ascii="Times New Roman" w:hAnsi="Times New Roman" w:cs="Times New Roman"/>
                <w:b/>
                <w:color w:val="000000"/>
              </w:rPr>
              <w:t xml:space="preserve"> 乌鲁木齐/昌吉-吐鲁番-乌鲁木齐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早餐后前往【新疆玉石博物馆】参观（约120分钟/店），游览吐鲁番的象征、素有“八百里火焰”之   称的【火焰山】游览极度干旱地区的生命  血脉、 中国古代三大文明工程的【郡王府坎儿井】（游览约 30分钟 ）、人们无不为它设计构思的巧妙，工程的艰巨而赞叹。 它也是我国各族人民智慧的结晶、勤劳的丰碑！后进入【农家小院】 中，品尝时令水果，欣赏特色歌舞。后乘车前往  乌鲁木齐入住酒店。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2025/06/09</w:t>
            </w:r>
          </w:p>
        </w:tc>
        <w:tc>
          <w:tcPr>
            <w:tcW w:w="2310" w:type="dxa"/>
            <w:gridSpan w:val="7"/>
          </w:tcPr>
          <w:p>
            <w:pPr/>
            <w:r>
              <w:rPr>
                <w:lang w:val="zh-CN"/>
                <w:rFonts w:ascii="Times New Roman" w:hAnsi="Times New Roman" w:cs="Times New Roman"/>
                <w:b/>
                <w:color w:val="000000"/>
              </w:rPr>
              <w:t>乌鲁木齐/昌吉-天池-奎屯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   在哪里，都会散发出巨大的魅力。后乘车后前往【驼绒文化馆】 了解当地的特产特色后赴亚欧大陆腹地干旱区自然景   观的代表景区【天山天池风景区】 ，天山天池古称“瑶池”，是以高山湖泊为主的自然风景区，是我国西北干旱地区   典型的山岳型自然景观。天山天池湖面海拔1910米，南北长3.5公里，东西宽0.8～1.5公里，深103米，湖滨云杉   环绕 ，雪峰倒映，云杉环拥，碧水似镜，风光如画，游览天山天池会让大家感受到没有感受过的震憾，也能感悟到志   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早餐：含；午餐：含；晚餐：含；住宿：奎屯</w:t>
            </w:r>
          </w:p>
        </w:tc>
      </w:tr>
      <w:tr>
        <w:tc>
          <w:tcPr>
            <w:tcW w:w="2310" w:type="dxa"/>
            <w:vAlign w:val="center"/>
            <w:vMerge w:val="restart"/>
          </w:tcPr>
          <w:p>
            <w:pPr/>
            <w:r>
              <w:rPr>
                <w:lang w:val="zh-CN"/>
                <w:rFonts w:ascii="Times New Roman" w:hAnsi="Times New Roman" w:cs="Times New Roman"/>
                <w:sz w:val="20"/>
                <w:szCs w:val="20"/>
                <w:color w:val="000000"/>
              </w:rPr>
              <w:t>2025/06/10</w:t>
            </w:r>
          </w:p>
        </w:tc>
        <w:tc>
          <w:tcPr>
            <w:tcW w:w="2310" w:type="dxa"/>
            <w:gridSpan w:val="7"/>
          </w:tcPr>
          <w:p>
            <w:pPr/>
            <w:r>
              <w:rPr>
                <w:lang w:val="zh-CN"/>
                <w:rFonts w:ascii="Times New Roman" w:hAnsi="Times New Roman" w:cs="Times New Roman"/>
                <w:b/>
                <w:color w:val="000000"/>
              </w:rPr>
              <w:t>奎屯—赛里木湖--伊宁市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早餐后前往前往赛里木湖，抵达后游览神秘美丽的【赛里木湖】，此时的赛里木湖还是一个半融化的冰 湖，两边云杉和冷杉直入云霄，远处雪山连绵，蔚为壮观，慢慢走在岸边，撩一把赛里木湖的水或未融 化的冰雪，这一弯净海从七千多万年前流淌到今日，流传着着多少动人的故事，承载着多少当地人的向 往。后沿风景如画的果子沟大桥赴伊宁，果子沟是伊犁河谷的门户，白云蓝天，雪山松树，峰回路转， 风光旖旎后乘车前往伊宁市入住酒店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2025/06/11</w:t>
            </w:r>
          </w:p>
        </w:tc>
        <w:tc>
          <w:tcPr>
            <w:tcW w:w="2310" w:type="dxa"/>
            <w:gridSpan w:val="7"/>
          </w:tcPr>
          <w:p>
            <w:pPr/>
            <w:r>
              <w:rPr>
                <w:lang w:val="zh-CN"/>
                <w:rFonts w:ascii="Times New Roman" w:hAnsi="Times New Roman" w:cs="Times New Roman"/>
                <w:b/>
                <w:color w:val="000000"/>
              </w:rPr>
              <w:t>伊宁--那拉提/新源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早餐后前往游览太阳升起的地方”—世界四大河谷草原——【那拉提大草原】乘坐景区区间车进入景区游 览观光，可选择适合的项目自由活动，如骑马、漂流、双人自行车、草地摩托车等。那拉提草原是世界四大 草原之一的亚高山草甸植物区， 自古以来就是著名的牧场。河谷、 山峰、深峡、森林在这里交相辉映。优美 的草原风光与当地哈萨克民俗风情结合在一起，成为新疆著名的旅游观光度假区。现已建成旅游功能齐全的 那拉提国家森林公园和旅游度假村。后乘车返回酒店，办理入住。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 xml:space="preserve"> 那拉提——和静/库尔勒</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早起后乘车前往和静/库尔勒，沿途观赏沿途观光巩乃斯河谷原始森林，抵达后入住酒店。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早餐：含；午餐：含；晚餐：含；住宿：和静/库尔勒</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 xml:space="preserve">和静/库尔勒--罗布人村寨（或博斯腾湖）--喀什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早餐后乘车赴南疆代表性景点【罗布人村寨】，在此还可感受中国面积最大的塔克拉玛干沙漠，在景区南面，连绵起  伏，茫茫无边，汹涌澎湃。 自费骑“沙漠之舟”涉沙海深处，看大漠风光，听驼铃遗韵，悠悠情怀，心旷神怡。此处  有千姿百态的原始胡杨林，塔里木河与渭干河在这里交相辉映，塔克拉玛干大沙漠一望无际。划 独木舟、食烤鱼、操 罗布泊方言的罗布民族就生长在这里。后乘车前往库尔勒坐火车前往喀什。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 xml:space="preserve">喀什--喀拉库里湖--塔县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早餐后游览【卡拉库里湖】卡。后前往【白沙湖】白沙湖，晚抵达喀什入住酒店。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早餐：含；午餐：含；晚餐：自理；住宿：塔县</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 xml:space="preserve">塔县-金草滩、石头城-盘龙古道-喀什市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，出发前往游览【石头城、金草滩】。 随后换乘小车前往【盘龙古道】。后前往喀什，入住酒店休息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 xml:space="preserve"> 喀什-达瓦昆-喀什市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早接火车前往随后前往乘车前往国内第一大沙漠—    —塔克拉玛干沙漠的边缘【达瓦昆沙漠风景区】，游览结束后入住酒店休息。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喀什--喀什市区--喀什</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早餐后乘车前往【喀什古城】。后前往【喀什艾提尕尔清真寺】。后抵达酒店入住酒店.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喀什---昆明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早餐后根据航班时间送机，结束愉快行程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 住宿费用：住宿费用： 12晚当地四星酒店+2  晚当地五星酒店（如产生单男单女 ， 团友需补房差）。  我社不提供自然单间，如出现单男单女， 由客人补单房差。新疆地区限速严重，行程中的住宿根据实际情况进 行调整，不降低接待标准。2、  用餐费用：全程含15早26正，正餐餐标 30元/人/正(特色餐餐标除外)，十人一桌，八菜一汤，不含酒 水；人数增减时菜量相应增减； 房费中所含早餐，若客人不用，费用不退；此团价格为打包优惠价所有正餐不 吃不退。3、 交通：往返大 交通 ，当地2+1旅游大巴，车型根据此团游客人数而定，保证每人每正座，若客人 自行放弃当日行程，车费不予退还。4、 导游费用：当地普通话优秀导游服务。10人及以下不提供导游，司机兼向导，不做专业讲解，可办理相关 事宜。）5、景点费用：实际游览景点（含景点首道大门票）：吐鲁番（坎儿井、火焰山）、天山天池（含门票+区间车）、 喀纳斯（含门票+区间车）、五彩滩（含门票）、禾木（含门票+区间车）、可可托海（含门票+区间车）、伊宁（赛  里木湖门票+区间车），独山子大峡谷、那拉提，罗布人村寨，达瓦昆沙漠，卡拉库里湖， 白沙湖，金草滩+石  头城，艾提尕尔清真寺提示：不含景区内其它自费项目及自费景点门票。报价已为旅行社团队的折扣价，故行程中已包含的景门    票对所有证件（学生证、教师证、老年证、残疾证等证件）均不享受任何优惠政策，其优惠价格不予退（赠 送/新增景点自愿放弃费用不退。军人除外,按照旅行社协议价退）；6、费用说明：我社保留因不可抗拒因素（如天气、路况、航班原因等）对行程调整的权利，但行程内游览景 点不减少，如因此不可抗拒因素造成客人滞留，或其他费用的增加， 由客人自理、游客在旅游期间自动离团及 不游景点，不用餐，旅行社不退任何费用7、 儿童费用：11岁及以下儿童只含导服、车位、半餐费，不含门票、床位费，产生自理。8、 火车费用：库尔勒--喀什 ，喀什--乌鲁木齐，两段火车硬卧，不保证铺位9、进店说明及个人消费：全程 2个玉石购物店+1棉花特产店（景区内小摊以及购物不算购物店），进店游览 时间约 120 分钟，如需购物或参加另行付费的旅游项目，并和旅游者协商一致 ，同时在当地补签以上自愿去 购物店和参加另行付费旅游项目的相关合同行程外的自费项目、酒店内洗衣、理发、 电话、传真、收费电视、 饮品、烟酒等个人消费产生的费用。备注：此团价格为打包优惠后的价格，任何门票优惠证件，所有费用不用不退，敬请谅解；</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1、我社有权在不减少景点的前提下,调整景点游览次序及时间.2、如出现单数的情况下,请补单房差。 (不拼房，不加床，不安排三人间)3、 1.2米以下儿童只含车、半餐、导服，其他费用由客人自理。4、如遇天气、 自然灾害、政府政策性调价等不可抗拒的因素导致行程延误及变更费用我社不负担责任。5、我们的接待品质是以游客合理签字反馈意见为据,为维护游客和旅行社利益,请客人认真填写,行程结束后如有 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1、年龄划分 ：28-69岁。 2-11岁为儿童（只含车位费及半餐，不含床位不含门票不含早餐）， 12-27岁加收500元附加费，以年份为准，年龄超过70岁的老人不建议参加此行程，敬请见谅！2、人数:2-6人。6人无同车，7-10人补同车费300元/人、11-12人补同车费600元/人、13人以上单议！（请 注意儿童或者婴儿也参与同车人数计算）。3、全男、单男、单女恕不接待! 男女比例：女≥男。4、团队游览期间旅游者擅自离团视同游客违约,赔付合同违约金2500元，旅行社与其旅游服务关系自动终止， 未发生的费用不退，且不对游客离团期间发生的意外承担责任。 因不可抗力因素产生的一切费用由客人承担。5、此报价按照2人出游使用一个标间报价、成人不允许不占床。6、所有时间安排，游览顺序仅供参考， 由于交通天气路况等诸多因素导游有权对行程安排进行合理调整！7、特别赠送的自费项目， 因客人自身原因放弃，费用不退！所有散客名单 ，以双方确认件为准。请组团社仔 细核对客人名单，以免出现客人信息错误，我社将不承担任何损失！恕不接待细则：请恕我社无法正常接待有以下任何情况之一的游客   1.新疆当地报团；新疆当地散团或无正常返程航班的客人恕不接待。 2.已经走过其他地区环线继续走新疆线路客人恕不接待。3.残疾人、港澳台同胞、旅行社从业人员及亲属、华侨及外宾恕不接待。4.团队打散或不认识的人擅自拼在一起的散客（如同一个单位分批、分天走或者不认识的当做一组人发计划的， 一经发现成本结算）。5.记者、导游、律师、旅游从业人员及其亲友等恕不接待，孕妇恕不接待。</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王清荣</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2025/5/28 12:02:45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