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陈怡</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13388846974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XJT13FJ260604B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南北疆途双飞13日（东航）</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2026-06-04 MU9667 昆明→乌鲁木齐 10:10-14:55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2026-06-16 MU9668 乌鲁木齐→昆明 17:30-22:0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1、王琨</w:t>
            </w:r>
          </w:p>
        </w:tc>
        <w:tc>
          <w:tcPr>
            <w:tcW w:w="2310" w:type="dxa"/>
            <w:vAlign w:val="center"/>
            <w:gridSpan w:val="2"/>
          </w:tcPr>
          <w:p>
            <w:pPr/>
            <w:r>
              <w:rPr>
                <w:lang w:val="zh-CN"/>
                <w:rFonts w:ascii="Times New Roman" w:hAnsi="Times New Roman" w:cs="Times New Roman"/>
                <w:sz w:val="20"/>
                <w:szCs w:val="20"/>
                <w:color w:val="000000"/>
              </w:rPr>
              <w:t>530121196412040024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2、张建琼</w:t>
            </w:r>
          </w:p>
        </w:tc>
        <w:tc>
          <w:tcPr>
            <w:tcW w:w="2310" w:type="dxa"/>
            <w:vAlign w:val="center"/>
            <w:gridSpan w:val="2"/>
          </w:tcPr>
          <w:p>
            <w:pPr/>
            <w:r>
              <w:rPr>
                <w:lang w:val="zh-CN"/>
                <w:rFonts w:ascii="Times New Roman" w:hAnsi="Times New Roman" w:cs="Times New Roman"/>
                <w:sz w:val="20"/>
                <w:szCs w:val="20"/>
                <w:color w:val="000000"/>
              </w:rPr>
              <w:t>530121196402291225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3、张菊</w:t>
            </w:r>
          </w:p>
        </w:tc>
        <w:tc>
          <w:tcPr>
            <w:tcW w:w="2310" w:type="dxa"/>
            <w:vAlign w:val="center"/>
            <w:gridSpan w:val="2"/>
          </w:tcPr>
          <w:p>
            <w:pPr/>
            <w:r>
              <w:rPr>
                <w:lang w:val="zh-CN"/>
                <w:rFonts w:ascii="Times New Roman" w:hAnsi="Times New Roman" w:cs="Times New Roman"/>
                <w:sz w:val="20"/>
                <w:szCs w:val="20"/>
                <w:color w:val="000000"/>
              </w:rPr>
              <w:t>530121197011050023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4、靳丽清</w:t>
            </w:r>
          </w:p>
        </w:tc>
        <w:tc>
          <w:tcPr>
            <w:tcW w:w="2310" w:type="dxa"/>
            <w:vAlign w:val="center"/>
            <w:gridSpan w:val="2"/>
          </w:tcPr>
          <w:p>
            <w:pPr/>
            <w:r>
              <w:rPr>
                <w:lang w:val="zh-CN"/>
                <w:rFonts w:ascii="Times New Roman" w:hAnsi="Times New Roman" w:cs="Times New Roman"/>
                <w:sz w:val="20"/>
                <w:szCs w:val="20"/>
                <w:color w:val="000000"/>
              </w:rPr>
              <w:t>53012119660529002X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5、戚红仙</w:t>
            </w:r>
          </w:p>
        </w:tc>
        <w:tc>
          <w:tcPr>
            <w:tcW w:w="2310" w:type="dxa"/>
            <w:vAlign w:val="center"/>
            <w:gridSpan w:val="2"/>
          </w:tcPr>
          <w:p>
            <w:pPr/>
            <w:r>
              <w:rPr>
                <w:lang w:val="zh-CN"/>
                <w:rFonts w:ascii="Times New Roman" w:hAnsi="Times New Roman" w:cs="Times New Roman"/>
                <w:sz w:val="20"/>
                <w:szCs w:val="20"/>
                <w:color w:val="000000"/>
              </w:rPr>
              <w:t>530121196603090921</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5980.00</w:t>
            </w:r>
          </w:p>
        </w:tc>
        <w:tc>
          <w:tcPr>
            <w:tcW w:w="2310" w:type="dxa"/>
          </w:tcPr>
          <w:p>
            <w:pPr/>
            <w:r>
              <w:rPr>
                <w:lang w:val="zh-CN"/>
                <w:rFonts w:ascii="Times New Roman" w:hAnsi="Times New Roman" w:cs="Times New Roman"/>
                <w:sz w:val="20"/>
                <w:szCs w:val="20"/>
                <w:color w:val="000000"/>
              </w:rPr>
              <w:t>29900.00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总金额：贰万玖仟玖佰元整</w:t>
            </w:r>
          </w:p>
        </w:tc>
        <w:tc>
          <w:tcPr>
            <w:tcW w:w="2310" w:type="dxa"/>
            <w:textDirection w:val="right"/>
            <w:gridSpan w:val="3"/>
          </w:tcPr>
          <w:p>
            <w:pPr/>
            <w:r>
              <w:rPr>
                <w:lang w:val="zh-CN"/>
                <w:rFonts w:ascii="Times New Roman" w:hAnsi="Times New Roman" w:cs="Times New Roman"/>
                <w:b/>
                <w:color w:val="FF0000"/>
              </w:rPr>
              <w:t>29900.00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根据您所选择的航班时间或火车时间，我们将送您前往乌鲁木齐机场或火车站，结束愉快的西域之旅！午、晚餐敬请自理。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陈怡</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2026/5/25 10:35:45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