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中青</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曲娟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15087098998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訾豪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13759584407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XJT11TR260522A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天山独伊双卧11天（散拼）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1、郭明权</w:t>
            </w:r>
          </w:p>
        </w:tc>
        <w:tc>
          <w:tcPr>
            <w:tcW w:w="2310" w:type="dxa"/>
            <w:vAlign w:val="center"/>
            <w:gridSpan w:val="2"/>
          </w:tcPr>
          <w:p>
            <w:pPr/>
            <w:r>
              <w:rPr>
                <w:lang w:val="zh-CN"/>
                <w:rFonts w:ascii="Times New Roman" w:hAnsi="Times New Roman" w:cs="Times New Roman"/>
                <w:sz w:val="20"/>
                <w:szCs w:val="20"/>
                <w:color w:val="000000"/>
              </w:rPr>
              <w:t>220284196907061511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2、张玉杰</w:t>
            </w:r>
          </w:p>
        </w:tc>
        <w:tc>
          <w:tcPr>
            <w:tcW w:w="2310" w:type="dxa"/>
            <w:vAlign w:val="center"/>
            <w:gridSpan w:val="2"/>
          </w:tcPr>
          <w:p>
            <w:pPr/>
            <w:r>
              <w:rPr>
                <w:lang w:val="zh-CN"/>
                <w:rFonts w:ascii="Times New Roman" w:hAnsi="Times New Roman" w:cs="Times New Roman"/>
                <w:sz w:val="20"/>
                <w:szCs w:val="20"/>
                <w:color w:val="000000"/>
              </w:rPr>
              <w:t>220223196508131540</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2280.00</w:t>
            </w:r>
          </w:p>
        </w:tc>
        <w:tc>
          <w:tcPr>
            <w:tcW w:w="2310" w:type="dxa"/>
          </w:tcPr>
          <w:p>
            <w:pPr/>
            <w:r>
              <w:rPr>
                <w:lang w:val="zh-CN"/>
                <w:rFonts w:ascii="Times New Roman" w:hAnsi="Times New Roman" w:cs="Times New Roman"/>
                <w:sz w:val="20"/>
                <w:szCs w:val="20"/>
                <w:color w:val="000000"/>
              </w:rPr>
              <w:t>4560.00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总金额：肆仟伍佰陆拾元整</w:t>
            </w:r>
          </w:p>
        </w:tc>
        <w:tc>
          <w:tcPr>
            <w:tcW w:w="2310" w:type="dxa"/>
            <w:textDirection w:val="right"/>
            <w:gridSpan w:val="3"/>
          </w:tcPr>
          <w:p>
            <w:pPr/>
            <w:r>
              <w:rPr>
                <w:lang w:val="zh-CN"/>
                <w:rFonts w:ascii="Times New Roman" w:hAnsi="Times New Roman" w:cs="Times New Roman"/>
                <w:b/>
                <w:color w:val="FF0000"/>
              </w:rPr>
              <w:t>4560.00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车站集 合 ，乘火车赴 新疆维吾尔 自治区 首 府 — 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火车上一路观光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火车上一路观光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鲁木齐-独山子大峡谷-博乐/双河</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 独山子   ，独库公路起点  ，游览【独山子大峡谷】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博乐/双河-赛里木湖-那拉提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早餐后 乘车游览高山湖泊【赛里木湖】 （ 含半湖 车 ）   省级旅游名胜 景区   ，第五批 国家级风 景名胜 区  ，是新疆海拔最高 、 面积最大 、风光秀丽的高 山湖泊   ，又是大 西洋 暖 湿气 流 最后 眷顾的地方， 因 此有  "大 西洋 最后 一 滴眼 泪  " 的 说法 。途中车 观果子沟大桥  ， 国道  045 线赛里木湖至果子沟高速公路的一座桥  ，桥梁全长约  700  米 ，桥 面距谷底净高约  20 0 米 。  它是一座斜拉高桥  ，集新技术 、新结构 、新工艺 、新设备“  四新  ”于一身  ，是新疆公路建设史上一次重大突破。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那拉提草原-伊宁六星街-博乐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，前往国家 AAAAA 级旅游风 景区【那拉提大草原】 （ 包含空中 草原区间 车）  ，晚可在 六星街自 由品尝当地特色 小 吃 。结束后前 往博 乐入 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博乐-军垦博物馆-乌鲁木齐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，前往石河子【兵团军垦博物馆】   ，位于石河子市内    ，是反映新疆生产建设兵团军垦历史和发展的专题博物馆   。 博物馆位于新疆的文物建筑 “ 军垦一楼 ” 内  ，通过众多的的文物 、 图片说明展示了石河子古代历史 、 军垦历史和后续发展 等 情 况  ，是了 解 生 产 建 设兵 团 历 史 的 好 去处 。乘车 抵达 乌鲁 木 齐/昌 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乌鲁木齐-天山天池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，前往参观玉石文化展览馆（  约  2  小时 ） ，后乘车至 【驼绒文化馆】 了解当地的特产特色,随后乘车赴天山脚下 ，游览【天山天池】   ， 它集天山冰雪融水成湖   ，清澈碧透 、  晶莹如玉  ，湖     周云杉如海 、 层峦叠翠 、 绿草如茵 、 远处博格达雪峰白雪皑皑    ，湖光山色美不胜收 换乘区间车  ，在此我们可以看到    ：瑶池仙境   ，天池八景、 石门一线 、 定海神针 、 龙潭碧月 、 悬泉飞 瀑 、 南山望雪、 西山观松等景点  ，后乘车前往塞北之花 （约2小时）  ， 了解兵团棉 花体验基地 ，这里是中国棉花生产基地， 高科技让新疆棉花再次焕发不同的光彩 ，，结束后 返回酒店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乌鲁木齐-火焰山-库木塔格沙漠-吐鲁番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早餐后前往参观和田玉展示中心（ 约   2 小时） ，后乘车前往素有 “ 火  洲 ”之称的吐鲁番  ，抵达后探寻 《西游记》 的外景拍  摄地 、 大名鼎鼎的【火焰山】 每当红日当空  ，地气蒸腾  ，焰云燎绕  ，形如飞腾的火龙 ，十分壮观 。后参加维吾尔族家  访欣赏 维吾 尔族 歌舞  ， 品尝 当地 特色 瓜果和 干果  ，午餐特别 安排当地特色香妃餐 。 后   游 览【 库 木 塔 格 沙 漠 】 库 木 塔 格 沙 漠 是 离 城 市 最 近 的 沙 漠  ，是世 界沙 漠 微 型 博物馆 ，沙不进  ，绿不退  ，造就了治沙史上得奇迹 。 游览结束后入住酒店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吐鲁番-昆明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早餐后游览古代三大工程之一的【坎儿井】  ， 它是利用地面坡度引去下水进行自由灌溉的工程 ， 在大漠 戈壁潺潺流淌 了2000 多年 ， 凝聚着勤劳与智慧的 人间奇迹   。后于指定时间集合前往吐鲁番火车站  ， 乘火车返回昆明。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早餐：不含；午餐：不含；晚餐：不含；住宿：车上</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抵达昆明后，结束愉快的行程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当地交通  ：全程空调旅游大巴车（  保证一人一正座  ，不保证车型） ；  往返大交通 ； 昆明-乌鲁木齐-昆明火车  酒店住宿 ：当地未评定四星酒店 ，升级 2 晚未评定五星酒店（  以两人一房为标准） ；  行程门票  ：行程表内所列景点首道大门票以及部分区间车费用 ；门票包含  ：赛里木湖门 + 区 、 那拉提门 + 区 、独山子大峡谷 、 天山天池景区门 + 区 、 火焰山 、 坎儿井门、库木塔格沙漠门 + 区以上门票均已做打包优惠  ，任何证件不再另行优惠退费  ，包含景点不去费用不退。  用餐标准  ：全程 7 早餐和 13正餐，30的餐标 ，包含特色餐香妃餐、九碗三行子  ，正餐为围桌餐（  十人一桌  ，8菜一汤） ；  地接导游  ：全国优秀中文导游。  保险  ：旅行社责任险。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1、本产品已是旅行社优惠价格  ，活动本身是优惠补贴活动  ，如有特殊证件  ，不再做任何退费处理  ；2、本行程实际出行中  ，导游 、司机可能会根据天气、 交通等情况   ，对您的行程进行适当调整（  如调整景点游览顺序等 ） ，以确保行程顺利进行。如因不可抗力等因素确定无法执行原行程计划 ，对于因此而造成的费用变更  ，我社实行多退少补  ，尽情谅解。3、 因人力不可抗拒因素（   自然灾害、 交通状况 、 政府行为等  ）造成行程的费用增加由客人自理  ，未产生的费用本公司将不退还。我社可以作出行程调整 ，尽力确保行程的顺利进行 。实在导致无法按照约定的计划执行的  ， 因变更而超出的费用由旅游者承担。4、旅游活动和自由活动期间  ，旅客须注意自身及随行未成年人的安全   ，如登观鱼台、乘游船、漂流、骑马等项目需根据自身健康情况量力而行 ；旅途中如因自身疾病带来的伤害 ， 由游客自行承担责任。5、旅游者因个人原因临时自愿放弃游览、住宿等  ，费用按旅行社协议价格退款。6、 自费项目导游将根据实际情况向游客推荐  ，游客自愿自主  ，如车上不够一半人数参加将取消该项目 。  自费不参加人员  ，请下车后在导游安排的指定区域自由活动（ 安全的需要 ） ，等候时间为参与者的游览时间。7、全程不提供自然单间  ，若出现单男单女由游客补足房差或由导游临时调配三人间   ，参团时发生单房差的游客  ，请按规定补足单房差。8、在旅游旺季或者其他一些特殊情况下  ，为了保证行程游览不受影响   ，行程的出发时间可能会提早  ，导致不能正常享用酒店早餐 。导游会与客人沟通建议跟酒店协调打包早餐或者自备 早餐。9、行程中的车程时间为不堵车情况下的参考时间,不包含景点的游览时间 ；在景点不 减少的情况下  ，依照客人 意见我社有权调整游览的先后顺序 ，投诉以当地接待社旅游意见单为准 ，请各位游客如实填写  ，若虚假填写、不填写默认为无接待问题 ， 回程后再行投诉 ，我社将不予受理 。如对我社接待不满意的请在第一时间与我社联系  ，以便我社协调处理。10 、应新疆旅游局规定  ，在新疆旅途中   ，新疆执法人员会上车检查客人是否签订旅游合同  ，以及是否有行程及是否在出发地出团前签订自费协议 。 请大家收客时一定要跟客人签订旅游合同并告知客人这个团型是有推荐自费的但不强迫消费 。如因收客方未签订旅游合同  ，未告知自费情况产生的违法行为   ，造成的处罚  ， 由收客方旅行社自行承担责任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曲娟</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訾豪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2026/5/13 13:46:47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