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建水昊游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16(16大)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1、孔凡仙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532501195802172528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2、莫克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532501195609102579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3、向崇黎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532501196502220617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4、邹云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532524196506280910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5、李琼波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532525195806101744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6、张乔德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532525195812011710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7、凃洪进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532524197301201216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8、何玉林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532524197809061226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9、金丽兴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532524196505081848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10、张昌贵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532729196408090075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532524196611280920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12、张发恩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532524196212160913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13、张帮跃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532524196103181512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14、李万全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532524196005052039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15、金叶函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53253119750824062X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16、邹立强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532524195808120010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17、金福庭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532524196609130915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总金额：叁万陆仟贰佰叁拾元整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36230.00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。后乘车至【驼绒文化馆】 了解当地的特产特色，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16:48:27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