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陆彦妤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13808771768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疆夏伊犁双飞8天（东航直飞）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2026-06-09 MU5837 昆明→乌鲁木齐 15:10-19:20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2026-06-16 MU5838 乌鲁木齐→昆明 20:30-00:40+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1、李康</w:t>
            </w:r>
          </w:p>
        </w:tc>
        <w:tc>
          <w:tcPr>
            <w:tcW w:w="2310" w:type="dxa"/>
            <w:vAlign w:val="center"/>
            <w:gridSpan w:val="2"/>
          </w:tcPr>
          <w:p>
            <w:pPr/>
            <w:r>
              <w:rPr>
                <w:lang w:val="zh-CN"/>
                <w:rFonts w:ascii="Times New Roman" w:hAnsi="Times New Roman" w:cs="Times New Roman"/>
                <w:sz w:val="20"/>
                <w:szCs w:val="20"/>
                <w:color w:val="000000"/>
              </w:rPr>
              <w:t>532501196301130658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2、梁琼</w:t>
            </w:r>
          </w:p>
        </w:tc>
        <w:tc>
          <w:tcPr>
            <w:tcW w:w="2310" w:type="dxa"/>
            <w:vAlign w:val="center"/>
            <w:gridSpan w:val="2"/>
          </w:tcPr>
          <w:p>
            <w:pPr/>
            <w:r>
              <w:rPr>
                <w:lang w:val="zh-CN"/>
                <w:rFonts w:ascii="Times New Roman" w:hAnsi="Times New Roman" w:cs="Times New Roman"/>
                <w:sz w:val="20"/>
                <w:szCs w:val="20"/>
                <w:color w:val="000000"/>
              </w:rPr>
              <w:t>532501196012260026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3、孙伟庆</w:t>
            </w:r>
          </w:p>
        </w:tc>
        <w:tc>
          <w:tcPr>
            <w:tcW w:w="2310" w:type="dxa"/>
            <w:vAlign w:val="center"/>
            <w:gridSpan w:val="2"/>
          </w:tcPr>
          <w:p>
            <w:pPr/>
            <w:r>
              <w:rPr>
                <w:lang w:val="zh-CN"/>
                <w:rFonts w:ascii="Times New Roman" w:hAnsi="Times New Roman" w:cs="Times New Roman"/>
                <w:sz w:val="20"/>
                <w:szCs w:val="20"/>
                <w:color w:val="000000"/>
              </w:rPr>
              <w:t>532501196805010633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4、梁晓芸</w:t>
            </w:r>
          </w:p>
        </w:tc>
        <w:tc>
          <w:tcPr>
            <w:tcW w:w="2310" w:type="dxa"/>
            <w:vAlign w:val="center"/>
            <w:gridSpan w:val="2"/>
          </w:tcPr>
          <w:p>
            <w:pPr/>
            <w:r>
              <w:rPr>
                <w:lang w:val="zh-CN"/>
                <w:rFonts w:ascii="Times New Roman" w:hAnsi="Times New Roman" w:cs="Times New Roman"/>
                <w:sz w:val="20"/>
                <w:szCs w:val="20"/>
                <w:color w:val="000000"/>
              </w:rPr>
              <w:t>532532197107230048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3579.00</w:t>
            </w:r>
          </w:p>
        </w:tc>
        <w:tc>
          <w:tcPr>
            <w:tcW w:w="2310" w:type="dxa"/>
          </w:tcPr>
          <w:p>
            <w:pPr/>
            <w:r>
              <w:rPr>
                <w:lang w:val="zh-CN"/>
                <w:rFonts w:ascii="Times New Roman" w:hAnsi="Times New Roman" w:cs="Times New Roman"/>
                <w:sz w:val="20"/>
                <w:szCs w:val="20"/>
                <w:color w:val="000000"/>
              </w:rPr>
              <w:t>14316.00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总金额：壹万肆仟叁佰壹拾陆元整</w:t>
            </w:r>
          </w:p>
        </w:tc>
        <w:tc>
          <w:tcPr>
            <w:tcW w:w="2310" w:type="dxa"/>
            <w:textDirection w:val="right"/>
            <w:gridSpan w:val="3"/>
          </w:tcPr>
          <w:p>
            <w:pPr/>
            <w:r>
              <w:rPr>
                <w:lang w:val="zh-CN"/>
                <w:rFonts w:ascii="Times New Roman" w:hAnsi="Times New Roman" w:cs="Times New Roman"/>
                <w:b/>
                <w:color w:val="FF0000"/>
              </w:rPr>
              <w:t>14316.00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陆彦妤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2026/6/3 14:34:15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