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18214588988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230828197805097415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2、罗迎苇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230828197802074947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3、周公博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530102200210302110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4、周公学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23082820121220013X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叶丹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魏忠福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2025/6/28 10:34:21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