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澜沧金孔雀</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尚总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13987971988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天山独伊单飞单卧9天（去程包机，回程火车/小宇）</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31(31大)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31</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70680.00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机场酒店</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50.00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普洱—昆明南动车票</w:t>
            </w:r>
          </w:p>
        </w:tc>
        <w:tc>
          <w:tcPr>
            <w:tcW w:w="2310" w:type="dxa"/>
          </w:tcPr>
          <w:p>
            <w:pPr/>
            <w:r>
              <w:rPr>
                <w:lang w:val="zh-CN"/>
                <w:rFonts w:ascii="Times New Roman" w:hAnsi="Times New Roman" w:cs="Times New Roman"/>
                <w:sz w:val="20"/>
                <w:szCs w:val="20"/>
                <w:color w:val="000000"/>
              </w:rPr>
              <w:t>32</w:t>
            </w:r>
          </w:p>
        </w:tc>
        <w:tc>
          <w:tcPr>
            <w:tcW w:w="2310" w:type="dxa"/>
          </w:tcPr>
          <w:p>
            <w:pPr/>
            <w:r>
              <w:rPr>
                <w:lang w:val="zh-CN"/>
                <w:rFonts w:ascii="Times New Roman" w:hAnsi="Times New Roman" w:cs="Times New Roman"/>
                <w:sz w:val="20"/>
                <w:szCs w:val="20"/>
                <w:color w:val="000000"/>
              </w:rPr>
              <w:t>159.00</w:t>
            </w:r>
          </w:p>
        </w:tc>
        <w:tc>
          <w:tcPr>
            <w:tcW w:w="2310" w:type="dxa"/>
          </w:tcPr>
          <w:p>
            <w:pPr/>
            <w:r>
              <w:rPr>
                <w:lang w:val="zh-CN"/>
                <w:rFonts w:ascii="Times New Roman" w:hAnsi="Times New Roman" w:cs="Times New Roman"/>
                <w:sz w:val="20"/>
                <w:szCs w:val="20"/>
                <w:color w:val="000000"/>
              </w:rPr>
              <w:t>5088.00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1人收大交通1580元</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-700.00</w:t>
            </w:r>
          </w:p>
        </w:tc>
        <w:tc>
          <w:tcPr>
            <w:tcW w:w="2310" w:type="dxa"/>
          </w:tcPr>
          <w:p>
            <w:pPr/>
            <w:r>
              <w:rPr>
                <w:lang w:val="zh-CN"/>
                <w:rFonts w:ascii="Times New Roman" w:hAnsi="Times New Roman" w:cs="Times New Roman"/>
                <w:sz w:val="20"/>
                <w:szCs w:val="20"/>
                <w:color w:val="000000"/>
              </w:rPr>
              <w:t>-700.00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回程昆明—普洱动车票</w:t>
            </w:r>
          </w:p>
        </w:tc>
        <w:tc>
          <w:tcPr>
            <w:tcW w:w="2310" w:type="dxa"/>
          </w:tcPr>
          <w:p>
            <w:pPr/>
            <w:r>
              <w:rPr>
                <w:lang w:val="zh-CN"/>
                <w:rFonts w:ascii="Times New Roman" w:hAnsi="Times New Roman" w:cs="Times New Roman"/>
                <w:sz w:val="20"/>
                <w:szCs w:val="20"/>
                <w:color w:val="000000"/>
              </w:rPr>
              <w:t>32</w:t>
            </w:r>
          </w:p>
        </w:tc>
        <w:tc>
          <w:tcPr>
            <w:tcW w:w="2310" w:type="dxa"/>
          </w:tcPr>
          <w:p>
            <w:pPr/>
            <w:r>
              <w:rPr>
                <w:lang w:val="zh-CN"/>
                <w:rFonts w:ascii="Times New Roman" w:hAnsi="Times New Roman" w:cs="Times New Roman"/>
                <w:sz w:val="20"/>
                <w:szCs w:val="20"/>
                <w:color w:val="000000"/>
              </w:rPr>
              <w:t>168.00</w:t>
            </w:r>
          </w:p>
        </w:tc>
        <w:tc>
          <w:tcPr>
            <w:tcW w:w="2310" w:type="dxa"/>
          </w:tcPr>
          <w:p>
            <w:pPr/>
            <w:r>
              <w:rPr>
                <w:lang w:val="zh-CN"/>
                <w:rFonts w:ascii="Times New Roman" w:hAnsi="Times New Roman" w:cs="Times New Roman"/>
                <w:sz w:val="20"/>
                <w:szCs w:val="20"/>
                <w:color w:val="000000"/>
              </w:rPr>
              <w:t>5376.00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总金额：捌万壹仟贰佰肆拾肆元整</w:t>
            </w:r>
          </w:p>
        </w:tc>
        <w:tc>
          <w:tcPr>
            <w:tcW w:w="2310" w:type="dxa"/>
            <w:textDirection w:val="right"/>
            <w:gridSpan w:val="3"/>
          </w:tcPr>
          <w:p>
            <w:pPr/>
            <w:r>
              <w:rPr>
                <w:lang w:val="zh-CN"/>
                <w:rFonts w:ascii="Times New Roman" w:hAnsi="Times New Roman" w:cs="Times New Roman"/>
                <w:b/>
                <w:color w:val="FF0000"/>
              </w:rPr>
              <w:t>81244.00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尚总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2026/6/9 11:55:21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