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玉溪走啦</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白总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XJT08FJ260708A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【独库伊犁】双飞8日（散拼/TJ）（去程转机回程包机）</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2026-07-08</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2026-07-15</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6(6大)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1、刘舒榕</w:t>
            </w:r>
          </w:p>
        </w:tc>
        <w:tc>
          <w:tcPr>
            <w:tcW w:w="2310" w:type="dxa"/>
            <w:vAlign w:val="center"/>
            <w:gridSpan w:val="2"/>
          </w:tcPr>
          <w:p>
            <w:pPr/>
            <w:r>
              <w:rPr>
                <w:lang w:val="zh-CN"/>
                <w:rFonts w:ascii="Times New Roman" w:hAnsi="Times New Roman" w:cs="Times New Roman"/>
                <w:sz w:val="20"/>
                <w:szCs w:val="20"/>
                <w:color w:val="000000"/>
              </w:rPr>
              <w:t>530402201610062022</w:t>
            </w:r>
          </w:p>
        </w:tc>
        <w:tc>
          <w:tcPr>
            <w:tcW w:w="2310" w:type="dxa"/>
            <w:vAlign w:val="center"/>
          </w:tcPr>
          <w:p>
            <w:pPr/>
            <w:r>
              <w:rPr>
                <w:lang w:val="zh-CN"/>
                <w:rFonts w:ascii="Times New Roman" w:hAnsi="Times New Roman" w:cs="Times New Roman"/>
                <w:sz w:val="20"/>
                <w:szCs w:val="20"/>
                <w:color w:val="000000"/>
              </w:rPr>
              <w:t>9</w:t>
            </w:r>
          </w:p>
        </w:tc>
        <w:tc>
          <w:tcPr>
            <w:tcW w:w="2310" w:type="dxa"/>
            <w:vAlign w:val="center"/>
          </w:tcPr>
          <w:p>
            <w:pPr/>
            <w:r>
              <w:rPr>
                <w:lang w:val="zh-CN"/>
                <w:rFonts w:ascii="Times New Roman" w:hAnsi="Times New Roman" w:cs="Times New Roman"/>
                <w:sz w:val="20"/>
                <w:szCs w:val="20"/>
                <w:color w:val="000000"/>
              </w:rPr>
              <w:t>2、朱庆芬</w:t>
            </w:r>
          </w:p>
        </w:tc>
        <w:tc>
          <w:tcPr>
            <w:tcW w:w="2310" w:type="dxa"/>
            <w:vAlign w:val="center"/>
            <w:gridSpan w:val="2"/>
          </w:tcPr>
          <w:p>
            <w:pPr/>
            <w:r>
              <w:rPr>
                <w:lang w:val="zh-CN"/>
                <w:rFonts w:ascii="Times New Roman" w:hAnsi="Times New Roman" w:cs="Times New Roman"/>
                <w:sz w:val="20"/>
                <w:szCs w:val="20"/>
                <w:color w:val="000000"/>
              </w:rPr>
              <w:t>530381198304223321</w:t>
            </w:r>
          </w:p>
        </w:tc>
        <w:tc>
          <w:tcPr>
            <w:tcW w:w="2310" w:type="dxa"/>
            <w:vAlign w:val="center"/>
          </w:tcPr>
          <w:p>
            <w:pPr/>
            <w:r>
              <w:rPr>
                <w:lang w:val="zh-CN"/>
                <w:rFonts w:ascii="Times New Roman" w:hAnsi="Times New Roman" w:cs="Times New Roman"/>
                <w:sz w:val="20"/>
                <w:szCs w:val="20"/>
                <w:color w:val="000000"/>
              </w:rPr>
              <w:t>43</w:t>
            </w:r>
          </w:p>
        </w:tc>
      </w:tr>
      <w:tr>
        <w:tc>
          <w:tcPr>
            <w:tcW w:w="2310" w:type="dxa"/>
            <w:vAlign w:val="center"/>
          </w:tcPr>
          <w:p>
            <w:pPr/>
            <w:r>
              <w:rPr>
                <w:lang w:val="zh-CN"/>
                <w:rFonts w:ascii="Times New Roman" w:hAnsi="Times New Roman" w:cs="Times New Roman"/>
                <w:sz w:val="20"/>
                <w:szCs w:val="20"/>
                <w:color w:val="000000"/>
              </w:rPr>
              <w:t>3、刘馨瑜</w:t>
            </w:r>
          </w:p>
        </w:tc>
        <w:tc>
          <w:tcPr>
            <w:tcW w:w="2310" w:type="dxa"/>
            <w:vAlign w:val="center"/>
            <w:gridSpan w:val="2"/>
          </w:tcPr>
          <w:p>
            <w:pPr/>
            <w:r>
              <w:rPr>
                <w:lang w:val="zh-CN"/>
                <w:rFonts w:ascii="Times New Roman" w:hAnsi="Times New Roman" w:cs="Times New Roman"/>
                <w:sz w:val="20"/>
                <w:szCs w:val="20"/>
                <w:color w:val="000000"/>
              </w:rPr>
              <w:t>530402201201062021</w:t>
            </w:r>
          </w:p>
        </w:tc>
        <w:tc>
          <w:tcPr>
            <w:tcW w:w="2310" w:type="dxa"/>
            <w:vAlign w:val="center"/>
          </w:tcPr>
          <w:p>
            <w:pPr/>
            <w:r>
              <w:rPr>
                <w:lang w:val="zh-CN"/>
                <w:rFonts w:ascii="Times New Roman" w:hAnsi="Times New Roman" w:cs="Times New Roman"/>
                <w:sz w:val="20"/>
                <w:szCs w:val="20"/>
                <w:color w:val="000000"/>
              </w:rPr>
              <w:t>14</w:t>
            </w:r>
          </w:p>
        </w:tc>
        <w:tc>
          <w:tcPr>
            <w:tcW w:w="2310" w:type="dxa"/>
            <w:vAlign w:val="center"/>
          </w:tcPr>
          <w:p>
            <w:pPr/>
            <w:r>
              <w:rPr>
                <w:lang w:val="zh-CN"/>
                <w:rFonts w:ascii="Times New Roman" w:hAnsi="Times New Roman" w:cs="Times New Roman"/>
                <w:sz w:val="20"/>
                <w:szCs w:val="20"/>
                <w:color w:val="000000"/>
              </w:rPr>
              <w:t>4、朱丽</w:t>
            </w:r>
          </w:p>
        </w:tc>
        <w:tc>
          <w:tcPr>
            <w:tcW w:w="2310" w:type="dxa"/>
            <w:vAlign w:val="center"/>
            <w:gridSpan w:val="2"/>
          </w:tcPr>
          <w:p>
            <w:pPr/>
            <w:r>
              <w:rPr>
                <w:lang w:val="zh-CN"/>
                <w:rFonts w:ascii="Times New Roman" w:hAnsi="Times New Roman" w:cs="Times New Roman"/>
                <w:sz w:val="20"/>
                <w:szCs w:val="20"/>
                <w:color w:val="000000"/>
              </w:rPr>
              <w:t>530381198911083340</w:t>
            </w:r>
          </w:p>
        </w:tc>
        <w:tc>
          <w:tcPr>
            <w:tcW w:w="2310" w:type="dxa"/>
            <w:vAlign w:val="center"/>
          </w:tcPr>
          <w:p>
            <w:pPr/>
            <w:r>
              <w:rPr>
                <w:lang w:val="zh-CN"/>
                <w:rFonts w:ascii="Times New Roman" w:hAnsi="Times New Roman" w:cs="Times New Roman"/>
                <w:sz w:val="20"/>
                <w:szCs w:val="20"/>
                <w:color w:val="000000"/>
              </w:rPr>
              <w:t>36</w:t>
            </w:r>
          </w:p>
        </w:tc>
      </w:tr>
      <w:tr>
        <w:tc>
          <w:tcPr>
            <w:tcW w:w="2310" w:type="dxa"/>
            <w:vAlign w:val="center"/>
          </w:tcPr>
          <w:p>
            <w:pPr/>
            <w:r>
              <w:rPr>
                <w:lang w:val="zh-CN"/>
                <w:rFonts w:ascii="Times New Roman" w:hAnsi="Times New Roman" w:cs="Times New Roman"/>
                <w:sz w:val="20"/>
                <w:szCs w:val="20"/>
                <w:color w:val="000000"/>
              </w:rPr>
              <w:t>5、夏嘉宥</w:t>
            </w:r>
          </w:p>
        </w:tc>
        <w:tc>
          <w:tcPr>
            <w:tcW w:w="2310" w:type="dxa"/>
            <w:vAlign w:val="center"/>
            <w:gridSpan w:val="2"/>
          </w:tcPr>
          <w:p>
            <w:pPr/>
            <w:r>
              <w:rPr>
                <w:lang w:val="zh-CN"/>
                <w:rFonts w:ascii="Times New Roman" w:hAnsi="Times New Roman" w:cs="Times New Roman"/>
                <w:sz w:val="20"/>
                <w:szCs w:val="20"/>
                <w:color w:val="000000"/>
              </w:rPr>
              <w:t>530381201808213113</w:t>
            </w:r>
          </w:p>
        </w:tc>
        <w:tc>
          <w:tcPr>
            <w:tcW w:w="2310" w:type="dxa"/>
            <w:vAlign w:val="center"/>
          </w:tcPr>
          <w:p>
            <w:pPr/>
            <w:r>
              <w:rPr>
                <w:lang w:val="zh-CN"/>
                <w:rFonts w:ascii="Times New Roman" w:hAnsi="Times New Roman" w:cs="Times New Roman"/>
                <w:sz w:val="20"/>
                <w:szCs w:val="20"/>
                <w:color w:val="000000"/>
              </w:rPr>
              <w:t>7</w:t>
            </w:r>
          </w:p>
        </w:tc>
        <w:tc>
          <w:tcPr>
            <w:tcW w:w="2310" w:type="dxa"/>
            <w:vAlign w:val="center"/>
          </w:tcPr>
          <w:p>
            <w:pPr/>
            <w:r>
              <w:rPr>
                <w:lang w:val="zh-CN"/>
                <w:rFonts w:ascii="Times New Roman" w:hAnsi="Times New Roman" w:cs="Times New Roman"/>
                <w:sz w:val="20"/>
                <w:szCs w:val="20"/>
                <w:color w:val="000000"/>
              </w:rPr>
              <w:t>6、夏仁高</w:t>
            </w:r>
          </w:p>
        </w:tc>
        <w:tc>
          <w:tcPr>
            <w:tcW w:w="2310" w:type="dxa"/>
            <w:vAlign w:val="center"/>
            <w:gridSpan w:val="2"/>
          </w:tcPr>
          <w:p>
            <w:pPr/>
            <w:r>
              <w:rPr>
                <w:lang w:val="zh-CN"/>
                <w:rFonts w:ascii="Times New Roman" w:hAnsi="Times New Roman" w:cs="Times New Roman"/>
                <w:sz w:val="20"/>
                <w:szCs w:val="20"/>
                <w:color w:val="000000"/>
              </w:rPr>
              <w:t>53038119891127311X</w:t>
            </w:r>
          </w:p>
        </w:tc>
        <w:tc>
          <w:tcPr>
            <w:tcW w:w="2310" w:type="dxa"/>
            <w:vAlign w:val="center"/>
          </w:tcPr>
          <w:p>
            <w:pPr/>
            <w:r>
              <w:rPr>
                <w:lang w:val="zh-CN"/>
                <w:rFonts w:ascii="Times New Roman" w:hAnsi="Times New Roman" w:cs="Times New Roman"/>
                <w:sz w:val="20"/>
                <w:szCs w:val="20"/>
                <w:color w:val="000000"/>
              </w:rPr>
              <w:t>36</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6</w:t>
            </w:r>
          </w:p>
        </w:tc>
        <w:tc>
          <w:tcPr>
            <w:tcW w:w="2310" w:type="dxa"/>
          </w:tcPr>
          <w:p>
            <w:pPr/>
            <w:r>
              <w:rPr>
                <w:lang w:val="zh-CN"/>
                <w:rFonts w:ascii="Times New Roman" w:hAnsi="Times New Roman" w:cs="Times New Roman"/>
                <w:sz w:val="20"/>
                <w:szCs w:val="20"/>
                <w:color w:val="000000"/>
              </w:rPr>
              <w:t>2379.00</w:t>
            </w:r>
          </w:p>
        </w:tc>
        <w:tc>
          <w:tcPr>
            <w:tcW w:w="2310" w:type="dxa"/>
          </w:tcPr>
          <w:p>
            <w:pPr/>
            <w:r>
              <w:rPr>
                <w:lang w:val="zh-CN"/>
                <w:rFonts w:ascii="Times New Roman" w:hAnsi="Times New Roman" w:cs="Times New Roman"/>
                <w:sz w:val="20"/>
                <w:szCs w:val="20"/>
                <w:color w:val="000000"/>
              </w:rPr>
              <w:t>14274.00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儿童附加费</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500.00</w:t>
            </w:r>
          </w:p>
        </w:tc>
        <w:tc>
          <w:tcPr>
            <w:tcW w:w="2310" w:type="dxa"/>
          </w:tcPr>
          <w:p>
            <w:pPr/>
            <w:r>
              <w:rPr>
                <w:lang w:val="zh-CN"/>
                <w:rFonts w:ascii="Times New Roman" w:hAnsi="Times New Roman" w:cs="Times New Roman"/>
                <w:sz w:val="20"/>
                <w:szCs w:val="20"/>
                <w:color w:val="000000"/>
              </w:rPr>
              <w:t>500.00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总金额：壹万肆仟柒佰柒拾肆元整</w:t>
            </w:r>
          </w:p>
        </w:tc>
        <w:tc>
          <w:tcPr>
            <w:tcW w:w="2310" w:type="dxa"/>
            <w:textDirection w:val="right"/>
            <w:gridSpan w:val="3"/>
          </w:tcPr>
          <w:p>
            <w:pPr/>
            <w:r>
              <w:rPr>
                <w:lang w:val="zh-CN"/>
                <w:rFonts w:ascii="Times New Roman" w:hAnsi="Times New Roman" w:cs="Times New Roman"/>
                <w:b/>
                <w:color w:val="FF0000"/>
              </w:rPr>
              <w:t>14774.00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2026/07/08</w:t>
            </w:r>
          </w:p>
        </w:tc>
        <w:tc>
          <w:tcPr>
            <w:tcW w:w="2310" w:type="dxa"/>
            <w:gridSpan w:val="7"/>
          </w:tcPr>
          <w:p>
            <w:pPr/>
            <w:r>
              <w:rPr>
                <w:lang w:val="zh-CN"/>
                <w:rFonts w:ascii="Times New Roman" w:hAnsi="Times New Roman" w:cs="Times New Roman"/>
                <w:b/>
                <w:color w:val="000000"/>
              </w:rPr>
              <w:t>昆明-乌鲁木齐(飞机)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根据汇报时间乘机出发新疆，抵达后入住酒店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2026/07/09</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 、民歌、故事都具有独特的艺术价值。晚入住酒店。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2026/07/10</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 一路穿越蓝天白云穿行森林溪流牛羊遍.云卷云舒.  山水画卷心收眼底花香泥土芬芳的息扑鼻而来. 中午抵达巴音布鲁克草原蒙古语意为泉源丰富  .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2026/07/11</w:t>
            </w:r>
          </w:p>
        </w:tc>
        <w:tc>
          <w:tcPr>
            <w:tcW w:w="2310" w:type="dxa"/>
            <w:gridSpan w:val="7"/>
          </w:tcPr>
          <w:p>
            <w:pPr/>
            <w:r>
              <w:rPr>
                <w:lang w:val="zh-CN"/>
                <w:rFonts w:ascii="Times New Roman" w:hAnsi="Times New Roman" w:cs="Times New Roman"/>
                <w:b/>
                <w:color w:val="000000"/>
              </w:rPr>
              <w:t>那 拉 提空 中 草原 -天 山 花 海 - 六 星街 -清水 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森林繁茂，自古以来就是著名的牧场。参观【那拉提花海景区】（进景区）（不含观光塔费用），紫色花瓣随风摇,马鞭草溢香气飘。雪山青松白云绕  ，花田菊黄分外娇。花海那拉提是新疆自治区级休闲观光农业示范点 、国家4A级休闲观光园区。颜色各异的鲜花争奇斗艳，百花齐放，把观光园装扮成一个花的世界,  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2026/07/12</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2026/07/13</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 已为人父母 的顾客，千挑万选只为给儿女选一块值得戴一生的好玉。现时兴的首饰虽美，却总经不起时间的考验，但玉只会越戴越润越戴越美 。前往【新疆棉花店】（不低于180分钟）后乘车前往“人间瑶池【天山天池风景区】（含门票+区间车)，天池是中国新疆维吾尔自治区著湖泊,在博格达峰北坡山腰。湖面海拔1910米，南北长3.5公里.东西宽0.8～  1.5公里，最深处103米。天池成因有古冰蚀-终碛堰塞湖和山崩滑坡堰塞湖两说。游览石门一线、西小天池、大天池、定海神针、东小天池、南山望雪.西山观松。观赏雪峰倒映，湖水清绿的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2026/07/14</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后【维吾尔族家访】 (赠送项目如遇特殊情况费用不退  ), 在葡萄架下品尝的香甜的瓜果，和当地人一起载歌载舞，岂不美哉！前往西游记中的孙悟空三借芭蕉扇【芭蕉扇火焰山】含门票，游览约40分钟参观火焰山, 维吾尔语称克孜勒塔格，意为“红山”唐人以其炎热曾名为“火山“ 山长100多公里,最宽处达10公里火焰山是中国最热的地方夏季最高气温高达摄氏47 . 8地表最高温度高达摄氏70度以上沙窝里可烤熟鸡蛋吐鲁番【坎儿井民俗园】（含门票，游览约40分钟）坎儿井是荒漠地区一特殊灌溉系统，与万里长城、京杭大运河并称为中国古代三大工程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2026/07/15</w:t>
            </w:r>
          </w:p>
        </w:tc>
        <w:tc>
          <w:tcPr>
            <w:tcW w:w="2310" w:type="dxa"/>
            <w:gridSpan w:val="7"/>
          </w:tcPr>
          <w:p>
            <w:pPr/>
            <w:r>
              <w:rPr>
                <w:lang w:val="zh-CN"/>
                <w:rFonts w:ascii="Times New Roman" w:hAnsi="Times New Roman" w:cs="Times New Roman"/>
                <w:b/>
                <w:color w:val="000000"/>
              </w:rPr>
              <w:t>昆明-吐鲁番(飞机)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交通：吐鲁番--昆明经济舱，昆明-乌鲁木齐经济舱（不指定铺位）；2.旅游用车： 目的地豪华2+1空调旅游车（根据具体人数安排相应的车辆 ，每人一正座）3.  旅游住宿 ：全程入住当地四星  ，升级2晚当地五星酒店； 酒店不提供三人间或加床(成人不允许不占床；单房差自理）4.旅游用餐：全程含12正餐7早餐.正餐餐标40元/人（酒店含早，八菜一汤 ，十人一桌,不吃不退 ，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 、军官证 、老年证等证件等）均不再享受任何优惠政策  。其优惠价格及门票未产生的一概不予退还。赠送项目若无法参观或客放弃游览的所有费用不退不免！不做等价交换！6.导游服务： 当地中文导游服务 、持全国导游资格证上岗:（人数不足10人  ，不提供导游服务   ，司机提供简单讲解及服务）7.儿童标准： 2-11 周岁儿童报价只含车费 、半价餐费 、不含其他门票不含床位费（早餐费用现付），如身高超高产生门票及其他费用由家长现付；   小孩请携带户口本本人页原件8.旅游保险：含旅行社责任险；9. 旅游购物：全程进3个购物店（主营玉石  、玉器 ，每店不少于180分钟，景区或酒店必经购物场所不属旅行社安排，不保证售后服务不协助退换货，购买请慎重）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白总</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6</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2026/7/6 16:05:40</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