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携程</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百事通</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XJT08FJ260706A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2026-07-06</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2026-07-13</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1(1大)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2026-07-06 DR 6545 昆明→吐鲁番 07:05-10:35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2026-07-13 DR 6546 吐鲁番→昆明 11:25-14:5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1、王玲</w:t>
            </w:r>
          </w:p>
        </w:tc>
        <w:tc>
          <w:tcPr>
            <w:tcW w:w="2310" w:type="dxa"/>
            <w:vAlign w:val="center"/>
            <w:gridSpan w:val="2"/>
          </w:tcPr>
          <w:p>
            <w:pPr/>
            <w:r>
              <w:rPr>
                <w:lang w:val="zh-CN"/>
                <w:rFonts w:ascii="Times New Roman" w:hAnsi="Times New Roman" w:cs="Times New Roman"/>
                <w:sz w:val="20"/>
                <w:szCs w:val="20"/>
                <w:color w:val="000000"/>
              </w:rPr>
              <w:t>530123196505113926</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2379.00</w:t>
            </w:r>
          </w:p>
        </w:tc>
        <w:tc>
          <w:tcPr>
            <w:tcW w:w="2310" w:type="dxa"/>
          </w:tcPr>
          <w:p>
            <w:pPr/>
            <w:r>
              <w:rPr>
                <w:lang w:val="zh-CN"/>
                <w:rFonts w:ascii="Times New Roman" w:hAnsi="Times New Roman" w:cs="Times New Roman"/>
                <w:sz w:val="20"/>
                <w:szCs w:val="20"/>
                <w:color w:val="000000"/>
              </w:rPr>
              <w:t>2379.00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总金额：贰仟叁佰柒拾玖元整</w:t>
            </w:r>
          </w:p>
        </w:tc>
        <w:tc>
          <w:tcPr>
            <w:tcW w:w="2310" w:type="dxa"/>
            <w:textDirection w:val="right"/>
            <w:gridSpan w:val="3"/>
          </w:tcPr>
          <w:p>
            <w:pPr/>
            <w:r>
              <w:rPr>
                <w:lang w:val="zh-CN"/>
                <w:rFonts w:ascii="Times New Roman" w:hAnsi="Times New Roman" w:cs="Times New Roman"/>
                <w:b/>
                <w:color w:val="FF0000"/>
              </w:rPr>
              <w:t>2379.00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2026/07/06</w:t>
            </w:r>
          </w:p>
        </w:tc>
        <w:tc>
          <w:tcPr>
            <w:tcW w:w="2310" w:type="dxa"/>
            <w:gridSpan w:val="7"/>
          </w:tcPr>
          <w:p>
            <w:pPr/>
            <w:r>
              <w:rPr>
                <w:lang w:val="zh-CN"/>
                <w:rFonts w:ascii="Times New Roman" w:hAnsi="Times New Roman" w:cs="Times New Roman"/>
                <w:b/>
                <w:color w:val="000000"/>
              </w:rPr>
              <w:t>昆明-乌鲁木齐/吐鲁番(飞机)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根据航班时间乘机出发新疆，抵达后前往游览【库木塔格沙漠】无情多变的沙漠掩埋吞没了数不清的古代文明，唯独在鄯善县城脚下嘎然而止，停下了肆虐的脚步。游览结束后乘车前往入住酒店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2026/07/07</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2026/07/08</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2026/07/09</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2026/07/10</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2026/07/11</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2026/07/12</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维吾尔族家访】 (赠送项目如遇特殊情况费用不退  ), 在葡萄架下品尝的香甜的瓜果，和当地人一起载歌载舞，岂不美哉！前往西游记中的孙悟空三借芭蕉扇【芭蕉扇火焰山】含门票，游览约40分钟参观火焰山, 维吾尔语称克孜勒塔格，意为“红山”唐人以其炎热曾名为“火山“ 山长100多公里,最宽处达10公里火焰山是中国最热的地方夏季最高气温高达摄氏47 . 8地表最高温度高达摄氏70度以上沙窝里可烤熟鸡蛋吐鲁番【坎儿井民俗园】（含门票，游览约40分钟）坎儿井是荒漠地区一特殊灌溉系统，与万里长城、京杭大运河并称为中国古代三大工程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早餐：含；午餐：含；晚餐：含；住宿：吐鲁番/乌鲁木齐</w:t>
            </w:r>
          </w:p>
        </w:tc>
      </w:tr>
      <w:tr>
        <w:tc>
          <w:tcPr>
            <w:tcW w:w="2310" w:type="dxa"/>
            <w:vAlign w:val="center"/>
            <w:vMerge w:val="restart"/>
          </w:tcPr>
          <w:p>
            <w:pPr/>
            <w:r>
              <w:rPr>
                <w:lang w:val="zh-CN"/>
                <w:rFonts w:ascii="Times New Roman" w:hAnsi="Times New Roman" w:cs="Times New Roman"/>
                <w:sz w:val="20"/>
                <w:szCs w:val="20"/>
                <w:color w:val="000000"/>
              </w:rPr>
              <w:t>2026/07/13</w:t>
            </w:r>
          </w:p>
        </w:tc>
        <w:tc>
          <w:tcPr>
            <w:tcW w:w="2310" w:type="dxa"/>
            <w:gridSpan w:val="7"/>
          </w:tcPr>
          <w:p>
            <w:pPr/>
            <w:r>
              <w:rPr>
                <w:lang w:val="zh-CN"/>
                <w:rFonts w:ascii="Times New Roman" w:hAnsi="Times New Roman" w:cs="Times New Roman"/>
                <w:b/>
                <w:color w:val="000000"/>
              </w:rPr>
              <w:t>乌鲁木齐/吐鲁番--昆明(飞机)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根据航班时间送至机场，后乘机返回昆明，结束愉快的行程。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交通：往返经济舱；2.旅游用车： 目的地豪华2+1空调旅游车（根据具体人数安排相应的车辆 ，每人一正座）3.  旅游住宿 ：全程入住当地四星  ，升级2晚当地五星酒店； 酒店不提供三人间或加床(成人不允许不占床；单房差自理）4.旅游用餐：全程含12正餐7早餐.正餐餐标40元/人（酒店含早，八菜一汤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百事通</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2026/7/11 10:31:49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