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红塔国旅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周俊</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XJT08FJ260718C</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独库伊犁双飞8天（HN/散拼/TJ）</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2026-07-25</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12(8大4小)</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2026-07-18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2026-07-25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1、杨力维</w:t>
            </w:r>
          </w:p>
        </w:tc>
        <w:tc>
          <w:tcPr>
            <w:tcW w:w="2310" w:type="dxa"/>
            <w:vAlign w:val="center"/>
            <w:gridSpan w:val="2"/>
          </w:tcPr>
          <w:p>
            <w:pPr/>
            <w:r>
              <w:rPr>
                <w:lang w:val="zh-CN"/>
                <w:rFonts w:ascii="Times New Roman" w:hAnsi="Times New Roman" w:cs="Times New Roman"/>
                <w:sz w:val="20"/>
                <w:szCs w:val="20"/>
                <w:color w:val="000000"/>
              </w:rPr>
              <w:t>532401197511070672</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2、普雪晴</w:t>
            </w:r>
          </w:p>
        </w:tc>
        <w:tc>
          <w:tcPr>
            <w:tcW w:w="2310" w:type="dxa"/>
            <w:vAlign w:val="center"/>
            <w:gridSpan w:val="2"/>
          </w:tcPr>
          <w:p>
            <w:pPr/>
            <w:r>
              <w:rPr>
                <w:lang w:val="zh-CN"/>
                <w:rFonts w:ascii="Times New Roman" w:hAnsi="Times New Roman" w:cs="Times New Roman"/>
                <w:sz w:val="20"/>
                <w:szCs w:val="20"/>
                <w:color w:val="000000"/>
              </w:rPr>
              <w:t>530427198401120428</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3、杨弘元</w:t>
            </w:r>
          </w:p>
        </w:tc>
        <w:tc>
          <w:tcPr>
            <w:tcW w:w="2310" w:type="dxa"/>
            <w:vAlign w:val="center"/>
            <w:gridSpan w:val="2"/>
          </w:tcPr>
          <w:p>
            <w:pPr/>
            <w:r>
              <w:rPr>
                <w:lang w:val="zh-CN"/>
                <w:rFonts w:ascii="Times New Roman" w:hAnsi="Times New Roman" w:cs="Times New Roman"/>
                <w:sz w:val="20"/>
                <w:szCs w:val="20"/>
                <w:color w:val="000000"/>
              </w:rPr>
              <w:t>530402200906020636</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4、杨晗玥</w:t>
            </w:r>
          </w:p>
        </w:tc>
        <w:tc>
          <w:tcPr>
            <w:tcW w:w="2310" w:type="dxa"/>
            <w:vAlign w:val="center"/>
            <w:gridSpan w:val="2"/>
          </w:tcPr>
          <w:p>
            <w:pPr/>
            <w:r>
              <w:rPr>
                <w:lang w:val="zh-CN"/>
                <w:rFonts w:ascii="Times New Roman" w:hAnsi="Times New Roman" w:cs="Times New Roman"/>
                <w:sz w:val="20"/>
                <w:szCs w:val="20"/>
                <w:color w:val="000000"/>
              </w:rPr>
              <w:t>530402201210200668</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5、叶光文</w:t>
            </w:r>
          </w:p>
        </w:tc>
        <w:tc>
          <w:tcPr>
            <w:tcW w:w="2310" w:type="dxa"/>
            <w:vAlign w:val="center"/>
            <w:gridSpan w:val="2"/>
          </w:tcPr>
          <w:p>
            <w:pPr/>
            <w:r>
              <w:rPr>
                <w:lang w:val="zh-CN"/>
                <w:rFonts w:ascii="Times New Roman" w:hAnsi="Times New Roman" w:cs="Times New Roman"/>
                <w:sz w:val="20"/>
                <w:szCs w:val="20"/>
                <w:color w:val="000000"/>
              </w:rPr>
              <w:t>532401197512260638</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6、杨艳芬</w:t>
            </w:r>
          </w:p>
        </w:tc>
        <w:tc>
          <w:tcPr>
            <w:tcW w:w="2310" w:type="dxa"/>
            <w:vAlign w:val="center"/>
            <w:gridSpan w:val="2"/>
          </w:tcPr>
          <w:p>
            <w:pPr/>
            <w:r>
              <w:rPr>
                <w:lang w:val="zh-CN"/>
                <w:rFonts w:ascii="Times New Roman" w:hAnsi="Times New Roman" w:cs="Times New Roman"/>
                <w:sz w:val="20"/>
                <w:szCs w:val="20"/>
                <w:color w:val="000000"/>
              </w:rPr>
              <w:t>532401197809190626</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7、叶星宇</w:t>
            </w:r>
          </w:p>
        </w:tc>
        <w:tc>
          <w:tcPr>
            <w:tcW w:w="2310" w:type="dxa"/>
            <w:vAlign w:val="center"/>
            <w:gridSpan w:val="2"/>
          </w:tcPr>
          <w:p>
            <w:pPr/>
            <w:r>
              <w:rPr>
                <w:lang w:val="zh-CN"/>
                <w:rFonts w:ascii="Times New Roman" w:hAnsi="Times New Roman" w:cs="Times New Roman"/>
                <w:sz w:val="20"/>
                <w:szCs w:val="20"/>
                <w:color w:val="000000"/>
              </w:rPr>
              <w:t>530402200010210613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8、叶辰宇</w:t>
            </w:r>
          </w:p>
        </w:tc>
        <w:tc>
          <w:tcPr>
            <w:tcW w:w="2310" w:type="dxa"/>
            <w:vAlign w:val="center"/>
            <w:gridSpan w:val="2"/>
          </w:tcPr>
          <w:p>
            <w:pPr/>
            <w:r>
              <w:rPr>
                <w:lang w:val="zh-CN"/>
                <w:rFonts w:ascii="Times New Roman" w:hAnsi="Times New Roman" w:cs="Times New Roman"/>
                <w:sz w:val="20"/>
                <w:szCs w:val="20"/>
                <w:color w:val="000000"/>
              </w:rPr>
              <w:t>530402200804140610</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8</w:t>
            </w:r>
          </w:p>
        </w:tc>
        <w:tc>
          <w:tcPr>
            <w:tcW w:w="2310" w:type="dxa"/>
          </w:tcPr>
          <w:p>
            <w:pPr/>
            <w:r>
              <w:rPr>
                <w:lang w:val="zh-CN"/>
                <w:rFonts w:ascii="Times New Roman" w:hAnsi="Times New Roman" w:cs="Times New Roman"/>
                <w:sz w:val="20"/>
                <w:szCs w:val="20"/>
                <w:color w:val="000000"/>
              </w:rPr>
              <w:t>2679.00</w:t>
            </w:r>
          </w:p>
        </w:tc>
        <w:tc>
          <w:tcPr>
            <w:tcW w:w="2310" w:type="dxa"/>
          </w:tcPr>
          <w:p>
            <w:pPr/>
            <w:r>
              <w:rPr>
                <w:lang w:val="zh-CN"/>
                <w:rFonts w:ascii="Times New Roman" w:hAnsi="Times New Roman" w:cs="Times New Roman"/>
                <w:sz w:val="20"/>
                <w:szCs w:val="20"/>
                <w:color w:val="000000"/>
              </w:rPr>
              <w:t>21432.00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小孩占床</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500.00</w:t>
            </w:r>
          </w:p>
        </w:tc>
        <w:tc>
          <w:tcPr>
            <w:tcW w:w="2310" w:type="dxa"/>
          </w:tcPr>
          <w:p>
            <w:pPr/>
            <w:r>
              <w:rPr>
                <w:lang w:val="zh-CN"/>
                <w:rFonts w:ascii="Times New Roman" w:hAnsi="Times New Roman" w:cs="Times New Roman"/>
                <w:sz w:val="20"/>
                <w:szCs w:val="20"/>
                <w:color w:val="000000"/>
              </w:rPr>
              <w:t>2000.00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总金额：贰万叁仟肆佰叁拾贰元整</w:t>
            </w:r>
          </w:p>
        </w:tc>
        <w:tc>
          <w:tcPr>
            <w:tcW w:w="2310" w:type="dxa"/>
            <w:textDirection w:val="right"/>
            <w:gridSpan w:val="3"/>
          </w:tcPr>
          <w:p>
            <w:pPr/>
            <w:r>
              <w:rPr>
                <w:lang w:val="zh-CN"/>
                <w:rFonts w:ascii="Times New Roman" w:hAnsi="Times New Roman" w:cs="Times New Roman"/>
                <w:b/>
                <w:color w:val="FF0000"/>
              </w:rPr>
              <w:t>23432.00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乌 鲁 木 齐 - 天 山 隧 道 - 罗 布 人 村 寨 - 和 静/ 巴 伦 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不含区间车)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和 静 - 巴 音 布 鲁 克 - 那 拉 提/ 新 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不含区间车），乘车穿越中国最美十大公路之一的——独库公路中段（七座商务车.不指定车型）一路穿越蓝天白云穿行森林溪流牛羊遍.云卷云舒.山水画卷心收眼底花香泥土芬芳的息扑鼻而来.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门票+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花田菊黄分外娇。花海那拉提是新疆自治区级休闲观光农业示范点、国家4A级休闲观光园区。颜色各异的鲜花争奇斗艳，百花齐放，把观光园装扮成一个花的世界,也为游客献上了一场视觉盛宴。同时也因为它宜人的风景被誉为“伊犁第一景”“奇绝仙境”；前往伊宁前往【六星街】，始建于上世纪30年代中期，以其独特的六角形街巷而闻名，其格局与中国传统的城市规划理念有很大不同。街区平面呈圆形，有6条主干道从中心向外辐射，把街区分成6个扇形地区，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赛里木湖】(门票已含+不含区间车)这里亦称三台海子，与果子沟唇齿相依，湖面海拔2073km，是新疆海拔高面积大的高山湖湖水浩瀚无垠、湖滨草地,绿高盈尺,湖泊四周群山环绕,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前往【新疆棉花店】（不低于180分钟）后乘车前往“人间瑶池【天山天池风景区】（含门票）（不含区间车)，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含门票）（不含区间车)无情多变的沙漠掩埋吞没了数不清的古代文明，唯独在鄯善县城脚下嘎然而止，停下了肆虐的脚步。后前往西游记中的孙悟空三借芭蕉扇【芭蕉扇火焰山】含门票,游览约40分钟参观火焰山,维吾尔语称克孜勒塔格，意为“红山”唐人以其炎热曾名为“火山“山长100多公里,最宽处达10公里火焰山是中国最热的地方夏季最高气温高达摄氏47.8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坎儿井是荒漠地区特殊灌溉系统，与万里长城、京杭大运河并称为中国古代三大工程。后【维吾尔族家访】(赠送项目如遇特殊情况费用不退),在葡萄架下品尝的香甜的瓜果，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酒店不提供三人间或加床(成人不允许不占床；单房差自理）4.旅游用餐：全程含13正餐7早餐.正餐餐标40元/人（酒店含早，八菜一汤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周俊</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13</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2026/7/13 18:10:36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