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普洱天虹旅游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胡总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13888888888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石荣宇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XJT13FJ260624A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南北疆途双飞13天（包机/小宇）</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2026-06-24 DR6545 昆明→吐鲁番 06:55-10:45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2026-07-06 DR6546 吐鲁番→昆明 11:35-15:1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1、陶燕</w:t>
            </w:r>
          </w:p>
        </w:tc>
        <w:tc>
          <w:tcPr>
            <w:tcW w:w="2310" w:type="dxa"/>
            <w:vAlign w:val="center"/>
            <w:gridSpan w:val="2"/>
          </w:tcPr>
          <w:p>
            <w:pPr/>
            <w:r>
              <w:rPr>
                <w:lang w:val="zh-CN"/>
                <w:rFonts w:ascii="Times New Roman" w:hAnsi="Times New Roman" w:cs="Times New Roman"/>
                <w:sz w:val="20"/>
                <w:szCs w:val="20"/>
                <w:color w:val="000000"/>
              </w:rPr>
              <w:t>532725197008161224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2、杨杰</w:t>
            </w:r>
          </w:p>
        </w:tc>
        <w:tc>
          <w:tcPr>
            <w:tcW w:w="2310" w:type="dxa"/>
            <w:vAlign w:val="center"/>
            <w:gridSpan w:val="2"/>
          </w:tcPr>
          <w:p>
            <w:pPr/>
            <w:r>
              <w:rPr>
                <w:lang w:val="zh-CN"/>
                <w:rFonts w:ascii="Times New Roman" w:hAnsi="Times New Roman" w:cs="Times New Roman"/>
                <w:sz w:val="20"/>
                <w:szCs w:val="20"/>
                <w:color w:val="000000"/>
              </w:rPr>
              <w:t>532725196812030028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3、周天兰</w:t>
            </w:r>
          </w:p>
        </w:tc>
        <w:tc>
          <w:tcPr>
            <w:tcW w:w="2310" w:type="dxa"/>
            <w:vAlign w:val="center"/>
            <w:gridSpan w:val="2"/>
          </w:tcPr>
          <w:p>
            <w:pPr/>
            <w:r>
              <w:rPr>
                <w:lang w:val="zh-CN"/>
                <w:rFonts w:ascii="Times New Roman" w:hAnsi="Times New Roman" w:cs="Times New Roman"/>
                <w:sz w:val="20"/>
                <w:szCs w:val="20"/>
                <w:color w:val="000000"/>
              </w:rPr>
              <w:t>532725196805082743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4、李梅</w:t>
            </w:r>
          </w:p>
        </w:tc>
        <w:tc>
          <w:tcPr>
            <w:tcW w:w="2310" w:type="dxa"/>
            <w:vAlign w:val="center"/>
            <w:gridSpan w:val="2"/>
          </w:tcPr>
          <w:p>
            <w:pPr/>
            <w:r>
              <w:rPr>
                <w:lang w:val="zh-CN"/>
                <w:rFonts w:ascii="Times New Roman" w:hAnsi="Times New Roman" w:cs="Times New Roman"/>
                <w:sz w:val="20"/>
                <w:szCs w:val="20"/>
                <w:color w:val="000000"/>
              </w:rPr>
              <w:t>532721197210022441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5、杨艳</w:t>
            </w:r>
          </w:p>
        </w:tc>
        <w:tc>
          <w:tcPr>
            <w:tcW w:w="2310" w:type="dxa"/>
            <w:vAlign w:val="center"/>
            <w:gridSpan w:val="2"/>
          </w:tcPr>
          <w:p>
            <w:pPr/>
            <w:r>
              <w:rPr>
                <w:lang w:val="zh-CN"/>
                <w:rFonts w:ascii="Times New Roman" w:hAnsi="Times New Roman" w:cs="Times New Roman"/>
                <w:sz w:val="20"/>
                <w:szCs w:val="20"/>
                <w:color w:val="000000"/>
              </w:rPr>
              <w:t>532725197001033326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6、李兴萍</w:t>
            </w:r>
          </w:p>
        </w:tc>
        <w:tc>
          <w:tcPr>
            <w:tcW w:w="2310" w:type="dxa"/>
            <w:vAlign w:val="center"/>
            <w:gridSpan w:val="2"/>
          </w:tcPr>
          <w:p>
            <w:pPr/>
            <w:r>
              <w:rPr>
                <w:lang w:val="zh-CN"/>
                <w:rFonts w:ascii="Times New Roman" w:hAnsi="Times New Roman" w:cs="Times New Roman"/>
                <w:sz w:val="20"/>
                <w:szCs w:val="20"/>
                <w:color w:val="000000"/>
              </w:rPr>
              <w:t>532725197008073320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7、董艳</w:t>
            </w:r>
          </w:p>
        </w:tc>
        <w:tc>
          <w:tcPr>
            <w:tcW w:w="2310" w:type="dxa"/>
            <w:vAlign w:val="center"/>
            <w:gridSpan w:val="2"/>
          </w:tcPr>
          <w:p>
            <w:pPr/>
            <w:r>
              <w:rPr>
                <w:lang w:val="zh-CN"/>
                <w:rFonts w:ascii="Times New Roman" w:hAnsi="Times New Roman" w:cs="Times New Roman"/>
                <w:sz w:val="20"/>
                <w:szCs w:val="20"/>
                <w:color w:val="000000"/>
              </w:rPr>
              <w:t>532725196602060026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8、杨玲</w:t>
            </w:r>
          </w:p>
        </w:tc>
        <w:tc>
          <w:tcPr>
            <w:tcW w:w="2310" w:type="dxa"/>
            <w:vAlign w:val="center"/>
            <w:gridSpan w:val="2"/>
          </w:tcPr>
          <w:p>
            <w:pPr/>
            <w:r>
              <w:rPr>
                <w:lang w:val="zh-CN"/>
                <w:rFonts w:ascii="Times New Roman" w:hAnsi="Times New Roman" w:cs="Times New Roman"/>
                <w:sz w:val="20"/>
                <w:szCs w:val="20"/>
                <w:color w:val="000000"/>
              </w:rPr>
              <w:t>532725196810041524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9、付开钦</w:t>
            </w:r>
          </w:p>
        </w:tc>
        <w:tc>
          <w:tcPr>
            <w:tcW w:w="2310" w:type="dxa"/>
            <w:vAlign w:val="center"/>
            <w:gridSpan w:val="2"/>
          </w:tcPr>
          <w:p>
            <w:pPr/>
            <w:r>
              <w:rPr>
                <w:lang w:val="zh-CN"/>
                <w:rFonts w:ascii="Times New Roman" w:hAnsi="Times New Roman" w:cs="Times New Roman"/>
                <w:sz w:val="20"/>
                <w:szCs w:val="20"/>
                <w:color w:val="000000"/>
              </w:rPr>
              <w:t>532725196608100930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10、文雯</w:t>
            </w:r>
          </w:p>
        </w:tc>
        <w:tc>
          <w:tcPr>
            <w:tcW w:w="2310" w:type="dxa"/>
            <w:vAlign w:val="center"/>
            <w:gridSpan w:val="2"/>
          </w:tcPr>
          <w:p>
            <w:pPr/>
            <w:r>
              <w:rPr>
                <w:lang w:val="zh-CN"/>
                <w:rFonts w:ascii="Times New Roman" w:hAnsi="Times New Roman" w:cs="Times New Roman"/>
                <w:sz w:val="20"/>
                <w:szCs w:val="20"/>
                <w:color w:val="000000"/>
              </w:rPr>
              <w:t>532725196812250020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11、魏燕</w:t>
            </w:r>
          </w:p>
        </w:tc>
        <w:tc>
          <w:tcPr>
            <w:tcW w:w="2310" w:type="dxa"/>
            <w:vAlign w:val="center"/>
            <w:gridSpan w:val="2"/>
          </w:tcPr>
          <w:p>
            <w:pPr/>
            <w:r>
              <w:rPr>
                <w:lang w:val="zh-CN"/>
                <w:rFonts w:ascii="Times New Roman" w:hAnsi="Times New Roman" w:cs="Times New Roman"/>
                <w:sz w:val="20"/>
                <w:szCs w:val="20"/>
                <w:color w:val="000000"/>
              </w:rPr>
              <w:t>532725197204170021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12、佘绍有</w:t>
            </w:r>
          </w:p>
        </w:tc>
        <w:tc>
          <w:tcPr>
            <w:tcW w:w="2310" w:type="dxa"/>
            <w:vAlign w:val="center"/>
            <w:gridSpan w:val="2"/>
          </w:tcPr>
          <w:p>
            <w:pPr/>
            <w:r>
              <w:rPr>
                <w:lang w:val="zh-CN"/>
                <w:rFonts w:ascii="Times New Roman" w:hAnsi="Times New Roman" w:cs="Times New Roman"/>
                <w:sz w:val="20"/>
                <w:szCs w:val="20"/>
                <w:color w:val="000000"/>
              </w:rPr>
              <w:t>532725196312040035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13、李惠</w:t>
            </w:r>
          </w:p>
        </w:tc>
        <w:tc>
          <w:tcPr>
            <w:tcW w:w="2310" w:type="dxa"/>
            <w:vAlign w:val="center"/>
            <w:gridSpan w:val="2"/>
          </w:tcPr>
          <w:p>
            <w:pPr/>
            <w:r>
              <w:rPr>
                <w:lang w:val="zh-CN"/>
                <w:rFonts w:ascii="Times New Roman" w:hAnsi="Times New Roman" w:cs="Times New Roman"/>
                <w:sz w:val="20"/>
                <w:szCs w:val="20"/>
                <w:color w:val="000000"/>
              </w:rPr>
              <w:t>532725196911102162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14、曾颖</w:t>
            </w:r>
          </w:p>
        </w:tc>
        <w:tc>
          <w:tcPr>
            <w:tcW w:w="2310" w:type="dxa"/>
            <w:vAlign w:val="center"/>
            <w:gridSpan w:val="2"/>
          </w:tcPr>
          <w:p>
            <w:pPr/>
            <w:r>
              <w:rPr>
                <w:lang w:val="zh-CN"/>
                <w:rFonts w:ascii="Times New Roman" w:hAnsi="Times New Roman" w:cs="Times New Roman"/>
                <w:sz w:val="20"/>
                <w:szCs w:val="20"/>
                <w:color w:val="000000"/>
              </w:rPr>
              <w:t>532725197011010021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15、李怡</w:t>
            </w:r>
          </w:p>
        </w:tc>
        <w:tc>
          <w:tcPr>
            <w:tcW w:w="2310" w:type="dxa"/>
            <w:vAlign w:val="center"/>
            <w:gridSpan w:val="2"/>
          </w:tcPr>
          <w:p>
            <w:pPr/>
            <w:r>
              <w:rPr>
                <w:lang w:val="zh-CN"/>
                <w:rFonts w:ascii="Times New Roman" w:hAnsi="Times New Roman" w:cs="Times New Roman"/>
                <w:sz w:val="20"/>
                <w:szCs w:val="20"/>
                <w:color w:val="000000"/>
              </w:rPr>
              <w:t>532725197010300043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16、刀学兰</w:t>
            </w:r>
          </w:p>
        </w:tc>
        <w:tc>
          <w:tcPr>
            <w:tcW w:w="2310" w:type="dxa"/>
            <w:vAlign w:val="center"/>
            <w:gridSpan w:val="2"/>
          </w:tcPr>
          <w:p>
            <w:pPr/>
            <w:r>
              <w:rPr>
                <w:lang w:val="zh-CN"/>
                <w:rFonts w:ascii="Times New Roman" w:hAnsi="Times New Roman" w:cs="Times New Roman"/>
                <w:sz w:val="20"/>
                <w:szCs w:val="20"/>
                <w:color w:val="000000"/>
              </w:rPr>
              <w:t>532725196810210025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17、祝佳媛</w:t>
            </w:r>
          </w:p>
        </w:tc>
        <w:tc>
          <w:tcPr>
            <w:tcW w:w="2310" w:type="dxa"/>
            <w:vAlign w:val="center"/>
            <w:gridSpan w:val="2"/>
          </w:tcPr>
          <w:p>
            <w:pPr/>
            <w:r>
              <w:rPr>
                <w:lang w:val="zh-CN"/>
                <w:rFonts w:ascii="Times New Roman" w:hAnsi="Times New Roman" w:cs="Times New Roman"/>
                <w:sz w:val="20"/>
                <w:szCs w:val="20"/>
                <w:color w:val="000000"/>
              </w:rPr>
              <w:t>532725196308231824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18、张明</w:t>
            </w:r>
          </w:p>
        </w:tc>
        <w:tc>
          <w:tcPr>
            <w:tcW w:w="2310" w:type="dxa"/>
            <w:vAlign w:val="center"/>
            <w:gridSpan w:val="2"/>
          </w:tcPr>
          <w:p>
            <w:pPr/>
            <w:r>
              <w:rPr>
                <w:lang w:val="zh-CN"/>
                <w:rFonts w:ascii="Times New Roman" w:hAnsi="Times New Roman" w:cs="Times New Roman"/>
                <w:sz w:val="20"/>
                <w:szCs w:val="20"/>
                <w:color w:val="000000"/>
              </w:rPr>
              <w:t>532725196307051813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19、李晓凌</w:t>
            </w:r>
          </w:p>
        </w:tc>
        <w:tc>
          <w:tcPr>
            <w:tcW w:w="2310" w:type="dxa"/>
            <w:vAlign w:val="center"/>
            <w:gridSpan w:val="2"/>
          </w:tcPr>
          <w:p>
            <w:pPr/>
            <w:r>
              <w:rPr>
                <w:lang w:val="zh-CN"/>
                <w:rFonts w:ascii="Times New Roman" w:hAnsi="Times New Roman" w:cs="Times New Roman"/>
                <w:sz w:val="20"/>
                <w:szCs w:val="20"/>
                <w:color w:val="000000"/>
              </w:rPr>
              <w:t>532725197209190021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20、左燕</w:t>
            </w:r>
          </w:p>
        </w:tc>
        <w:tc>
          <w:tcPr>
            <w:tcW w:w="2310" w:type="dxa"/>
            <w:vAlign w:val="center"/>
            <w:gridSpan w:val="2"/>
          </w:tcPr>
          <w:p>
            <w:pPr/>
            <w:r>
              <w:rPr>
                <w:lang w:val="zh-CN"/>
                <w:rFonts w:ascii="Times New Roman" w:hAnsi="Times New Roman" w:cs="Times New Roman"/>
                <w:sz w:val="20"/>
                <w:szCs w:val="20"/>
                <w:color w:val="000000"/>
              </w:rPr>
              <w:t>532725197011083327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21、郑丽芸</w:t>
            </w:r>
          </w:p>
        </w:tc>
        <w:tc>
          <w:tcPr>
            <w:tcW w:w="2310" w:type="dxa"/>
            <w:vAlign w:val="center"/>
            <w:gridSpan w:val="2"/>
          </w:tcPr>
          <w:p>
            <w:pPr/>
            <w:r>
              <w:rPr>
                <w:lang w:val="zh-CN"/>
                <w:rFonts w:ascii="Times New Roman" w:hAnsi="Times New Roman" w:cs="Times New Roman"/>
                <w:sz w:val="20"/>
                <w:szCs w:val="20"/>
                <w:color w:val="000000"/>
              </w:rPr>
              <w:t>532725196911020386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22、杨兴琦</w:t>
            </w:r>
          </w:p>
        </w:tc>
        <w:tc>
          <w:tcPr>
            <w:tcW w:w="2310" w:type="dxa"/>
            <w:vAlign w:val="center"/>
            <w:gridSpan w:val="2"/>
          </w:tcPr>
          <w:p>
            <w:pPr/>
            <w:r>
              <w:rPr>
                <w:lang w:val="zh-CN"/>
                <w:rFonts w:ascii="Times New Roman" w:hAnsi="Times New Roman" w:cs="Times New Roman"/>
                <w:sz w:val="20"/>
                <w:szCs w:val="20"/>
                <w:color w:val="000000"/>
              </w:rPr>
              <w:t>532725195710180047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23、李啟仙</w:t>
            </w:r>
          </w:p>
        </w:tc>
        <w:tc>
          <w:tcPr>
            <w:tcW w:w="2310" w:type="dxa"/>
            <w:vAlign w:val="center"/>
            <w:gridSpan w:val="2"/>
          </w:tcPr>
          <w:p>
            <w:pPr/>
            <w:r>
              <w:rPr>
                <w:lang w:val="zh-CN"/>
                <w:rFonts w:ascii="Times New Roman" w:hAnsi="Times New Roman" w:cs="Times New Roman"/>
                <w:sz w:val="20"/>
                <w:szCs w:val="20"/>
                <w:color w:val="000000"/>
              </w:rPr>
              <w:t>532725195203290022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24、李鸿</w:t>
            </w:r>
          </w:p>
        </w:tc>
        <w:tc>
          <w:tcPr>
            <w:tcW w:w="2310" w:type="dxa"/>
            <w:vAlign w:val="center"/>
            <w:gridSpan w:val="2"/>
          </w:tcPr>
          <w:p>
            <w:pPr/>
            <w:r>
              <w:rPr>
                <w:lang w:val="zh-CN"/>
                <w:rFonts w:ascii="Times New Roman" w:hAnsi="Times New Roman" w:cs="Times New Roman"/>
                <w:sz w:val="20"/>
                <w:szCs w:val="20"/>
                <w:color w:val="000000"/>
              </w:rPr>
              <w:t>532725196912040928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25、马艳玲</w:t>
            </w:r>
          </w:p>
        </w:tc>
        <w:tc>
          <w:tcPr>
            <w:tcW w:w="2310" w:type="dxa"/>
            <w:vAlign w:val="center"/>
            <w:gridSpan w:val="2"/>
          </w:tcPr>
          <w:p>
            <w:pPr/>
            <w:r>
              <w:rPr>
                <w:lang w:val="zh-CN"/>
                <w:rFonts w:ascii="Times New Roman" w:hAnsi="Times New Roman" w:cs="Times New Roman"/>
                <w:sz w:val="20"/>
                <w:szCs w:val="20"/>
                <w:color w:val="000000"/>
              </w:rPr>
              <w:t>532725197212140041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26、车立燕</w:t>
            </w:r>
          </w:p>
        </w:tc>
        <w:tc>
          <w:tcPr>
            <w:tcW w:w="2310" w:type="dxa"/>
            <w:vAlign w:val="center"/>
            <w:gridSpan w:val="2"/>
          </w:tcPr>
          <w:p>
            <w:pPr/>
            <w:r>
              <w:rPr>
                <w:lang w:val="zh-CN"/>
                <w:rFonts w:ascii="Times New Roman" w:hAnsi="Times New Roman" w:cs="Times New Roman"/>
                <w:sz w:val="20"/>
                <w:szCs w:val="20"/>
                <w:color w:val="000000"/>
              </w:rPr>
              <w:t>53272519721010002X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27、李定文</w:t>
            </w:r>
          </w:p>
        </w:tc>
        <w:tc>
          <w:tcPr>
            <w:tcW w:w="2310" w:type="dxa"/>
            <w:vAlign w:val="center"/>
            <w:gridSpan w:val="2"/>
          </w:tcPr>
          <w:p>
            <w:pPr/>
            <w:r>
              <w:rPr>
                <w:lang w:val="zh-CN"/>
                <w:rFonts w:ascii="Times New Roman" w:hAnsi="Times New Roman" w:cs="Times New Roman"/>
                <w:sz w:val="20"/>
                <w:szCs w:val="20"/>
                <w:color w:val="000000"/>
              </w:rPr>
              <w:t>532725196802170035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28、毛有会</w:t>
            </w:r>
          </w:p>
        </w:tc>
        <w:tc>
          <w:tcPr>
            <w:tcW w:w="2310" w:type="dxa"/>
            <w:vAlign w:val="center"/>
            <w:gridSpan w:val="2"/>
          </w:tcPr>
          <w:p>
            <w:pPr/>
            <w:r>
              <w:rPr>
                <w:lang w:val="zh-CN"/>
                <w:rFonts w:ascii="Times New Roman" w:hAnsi="Times New Roman" w:cs="Times New Roman"/>
                <w:sz w:val="20"/>
                <w:szCs w:val="20"/>
                <w:color w:val="000000"/>
              </w:rPr>
              <w:t>53272519690410272X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29、施琼会</w:t>
            </w:r>
          </w:p>
        </w:tc>
        <w:tc>
          <w:tcPr>
            <w:tcW w:w="2310" w:type="dxa"/>
            <w:vAlign w:val="center"/>
            <w:gridSpan w:val="2"/>
          </w:tcPr>
          <w:p>
            <w:pPr/>
            <w:r>
              <w:rPr>
                <w:lang w:val="zh-CN"/>
                <w:rFonts w:ascii="Times New Roman" w:hAnsi="Times New Roman" w:cs="Times New Roman"/>
                <w:sz w:val="20"/>
                <w:szCs w:val="20"/>
                <w:color w:val="000000"/>
              </w:rPr>
              <w:t>532725196612310025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30、周芬</w:t>
            </w:r>
          </w:p>
        </w:tc>
        <w:tc>
          <w:tcPr>
            <w:tcW w:w="2310" w:type="dxa"/>
            <w:vAlign w:val="center"/>
            <w:gridSpan w:val="2"/>
          </w:tcPr>
          <w:p>
            <w:pPr/>
            <w:r>
              <w:rPr>
                <w:lang w:val="zh-CN"/>
                <w:rFonts w:ascii="Times New Roman" w:hAnsi="Times New Roman" w:cs="Times New Roman"/>
                <w:sz w:val="20"/>
                <w:szCs w:val="20"/>
                <w:color w:val="000000"/>
              </w:rPr>
              <w:t>532725197308230340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31、周惠</w:t>
            </w:r>
          </w:p>
        </w:tc>
        <w:tc>
          <w:tcPr>
            <w:tcW w:w="2310" w:type="dxa"/>
            <w:vAlign w:val="center"/>
            <w:gridSpan w:val="2"/>
          </w:tcPr>
          <w:p>
            <w:pPr/>
            <w:r>
              <w:rPr>
                <w:lang w:val="zh-CN"/>
                <w:rFonts w:ascii="Times New Roman" w:hAnsi="Times New Roman" w:cs="Times New Roman"/>
                <w:sz w:val="20"/>
                <w:szCs w:val="20"/>
                <w:color w:val="000000"/>
              </w:rPr>
              <w:t>53272519681107036X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32、张有芳</w:t>
            </w:r>
          </w:p>
        </w:tc>
        <w:tc>
          <w:tcPr>
            <w:tcW w:w="2310" w:type="dxa"/>
            <w:vAlign w:val="center"/>
            <w:gridSpan w:val="2"/>
          </w:tcPr>
          <w:p>
            <w:pPr/>
            <w:r>
              <w:rPr>
                <w:lang w:val="zh-CN"/>
                <w:rFonts w:ascii="Times New Roman" w:hAnsi="Times New Roman" w:cs="Times New Roman"/>
                <w:sz w:val="20"/>
                <w:szCs w:val="20"/>
                <w:color w:val="000000"/>
              </w:rPr>
              <w:t>532725196504100020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33、周元芬</w:t>
            </w:r>
          </w:p>
        </w:tc>
        <w:tc>
          <w:tcPr>
            <w:tcW w:w="2310" w:type="dxa"/>
            <w:vAlign w:val="center"/>
            <w:gridSpan w:val="2"/>
          </w:tcPr>
          <w:p>
            <w:pPr/>
            <w:r>
              <w:rPr>
                <w:lang w:val="zh-CN"/>
                <w:rFonts w:ascii="Times New Roman" w:hAnsi="Times New Roman" w:cs="Times New Roman"/>
                <w:sz w:val="20"/>
                <w:szCs w:val="20"/>
                <w:color w:val="000000"/>
              </w:rPr>
              <w:t>532725196606050028</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33</w:t>
            </w:r>
          </w:p>
        </w:tc>
        <w:tc>
          <w:tcPr>
            <w:tcW w:w="2310" w:type="dxa"/>
          </w:tcPr>
          <w:p>
            <w:pPr/>
            <w:r>
              <w:rPr>
                <w:lang w:val="zh-CN"/>
                <w:rFonts w:ascii="Times New Roman" w:hAnsi="Times New Roman" w:cs="Times New Roman"/>
                <w:sz w:val="20"/>
                <w:szCs w:val="20"/>
                <w:color w:val="000000"/>
              </w:rPr>
              <w:t>5580.00</w:t>
            </w:r>
          </w:p>
        </w:tc>
        <w:tc>
          <w:tcPr>
            <w:tcW w:w="2310" w:type="dxa"/>
          </w:tcPr>
          <w:p>
            <w:pPr/>
            <w:r>
              <w:rPr>
                <w:lang w:val="zh-CN"/>
                <w:rFonts w:ascii="Times New Roman" w:hAnsi="Times New Roman" w:cs="Times New Roman"/>
                <w:sz w:val="20"/>
                <w:szCs w:val="20"/>
                <w:color w:val="000000"/>
              </w:rPr>
              <w:t>184140.00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4人不含大交通</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-2800.00</w:t>
            </w:r>
          </w:p>
        </w:tc>
        <w:tc>
          <w:tcPr>
            <w:tcW w:w="2310" w:type="dxa"/>
          </w:tcPr>
          <w:p>
            <w:pPr/>
            <w:r>
              <w:rPr>
                <w:lang w:val="zh-CN"/>
                <w:rFonts w:ascii="Times New Roman" w:hAnsi="Times New Roman" w:cs="Times New Roman"/>
                <w:sz w:val="20"/>
                <w:szCs w:val="20"/>
                <w:color w:val="000000"/>
              </w:rPr>
              <w:t>-11200.00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总金额：壹拾柒万贰仟玖佰肆拾元整</w:t>
            </w:r>
          </w:p>
        </w:tc>
        <w:tc>
          <w:tcPr>
            <w:tcW w:w="2310" w:type="dxa"/>
            <w:textDirection w:val="right"/>
            <w:gridSpan w:val="3"/>
          </w:tcPr>
          <w:p>
            <w:pPr/>
            <w:r>
              <w:rPr>
                <w:lang w:val="zh-CN"/>
                <w:rFonts w:ascii="Times New Roman" w:hAnsi="Times New Roman" w:cs="Times New Roman"/>
                <w:b/>
                <w:color w:val="FF0000"/>
              </w:rPr>
              <w:t>172940.00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昆明-吐鲁番-乌鲁木齐(飞机)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2026/07/05</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2026/07/06</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根据您所选择的航班时间或火车时间，我们将送您前往吐鲁番机场或火车站，结束愉快的西域之旅！午、晚餐敬请自理。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24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胡总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石荣宇</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7</w:t>
                  </w:r>
                  <w:r w:rsidR="00192D3B">
                    <w:rPr>
                      <w:rFonts w:asciiTheme="minorEastAsia" w:hAnsiTheme="minorEastAsia" w:hint="eastAsia"/>
                    </w:rPr>
                    <w:t xml:space="preserve">月 </w:t>
                  </w:r>
                  <w:r>
                    <w:rPr>
                      <w:rFonts w:asciiTheme="minorEastAsia" w:hAnsiTheme="minorEastAsia" w:hint="eastAsia"/>
                    </w:rPr>
                    <w:t>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2026/7/1 12:28:07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