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江城走啦</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江城走啦</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XJT08FJ260719A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2026-07-26</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5(5大)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5</w:t>
            </w:r>
          </w:p>
        </w:tc>
        <w:tc>
          <w:tcPr>
            <w:tcW w:w="2310" w:type="dxa"/>
          </w:tcPr>
          <w:p>
            <w:pPr/>
            <w:r>
              <w:rPr>
                <w:lang w:val="zh-CN"/>
                <w:rFonts w:ascii="Times New Roman" w:hAnsi="Times New Roman" w:cs="Times New Roman"/>
                <w:sz w:val="20"/>
                <w:szCs w:val="20"/>
                <w:color w:val="000000"/>
              </w:rPr>
              <w:t>2679.00</w:t>
            </w:r>
          </w:p>
        </w:tc>
        <w:tc>
          <w:tcPr>
            <w:tcW w:w="2310" w:type="dxa"/>
          </w:tcPr>
          <w:p>
            <w:pPr/>
            <w:r>
              <w:rPr>
                <w:lang w:val="zh-CN"/>
                <w:rFonts w:ascii="Times New Roman" w:hAnsi="Times New Roman" w:cs="Times New Roman"/>
                <w:sz w:val="20"/>
                <w:szCs w:val="20"/>
                <w:color w:val="000000"/>
              </w:rPr>
              <w:t>13395.00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总金额：壹万叁仟叁佰玖拾伍元整</w:t>
            </w:r>
          </w:p>
        </w:tc>
        <w:tc>
          <w:tcPr>
            <w:tcW w:w="2310" w:type="dxa"/>
            <w:textDirection w:val="right"/>
            <w:gridSpan w:val="3"/>
          </w:tcPr>
          <w:p>
            <w:pPr/>
            <w:r>
              <w:rPr>
                <w:lang w:val="zh-CN"/>
                <w:rFonts w:ascii="Times New Roman" w:hAnsi="Times New Roman" w:cs="Times New Roman"/>
                <w:b/>
                <w:color w:val="FF0000"/>
              </w:rPr>
              <w:t>13395.00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2026/07/19</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2026/07/20</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2026/07/21</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前往西游记中的孙悟空三借芭蕉扇【芭蕉扇火焰山】含门票，游览约40分钟参观火焰山,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坎儿井是荒漠地区一特殊灌溉系统，与万里长城   、京杭大运河并称为中国古代三大工程   。后【维吾尔族家访】    (赠送项目如遇特殊情况费用不退),   在葡萄架下品尝的香甜的瓜果  ，和当地人一起载歌载舞，岂不美哉！根据航班时间送至吐鲁番机场。根据航班时间送至吐鲁番机场。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酒店不提供三人间或加床(成人不允许不占床；单房差自理）4.旅游用餐：全程含13正餐7早餐.正餐餐标40元/人（酒店含早，八菜一汤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江城走啦</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2026/7/14 20:52:27</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