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有有假期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周艳丽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18468127746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XJT08FJ260706A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2026-07-06 DR 6545 昆明→吐鲁番 07:05-10:3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1、刘一霖</w:t>
            </w:r>
          </w:p>
        </w:tc>
        <w:tc>
          <w:tcPr>
            <w:tcW w:w="2310" w:type="dxa"/>
            <w:vAlign w:val="center"/>
            <w:gridSpan w:val="2"/>
          </w:tcPr>
          <w:p>
            <w:pPr/>
            <w:r>
              <w:rPr>
                <w:lang w:val="zh-CN"/>
                <w:rFonts w:ascii="Times New Roman" w:hAnsi="Times New Roman" w:cs="Times New Roman"/>
                <w:sz w:val="20"/>
                <w:szCs w:val="20"/>
                <w:color w:val="000000"/>
              </w:rPr>
              <w:t>530125200709100811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2、周巧英</w:t>
            </w:r>
          </w:p>
        </w:tc>
        <w:tc>
          <w:tcPr>
            <w:tcW w:w="2310" w:type="dxa"/>
            <w:vAlign w:val="center"/>
            <w:gridSpan w:val="2"/>
          </w:tcPr>
          <w:p>
            <w:pPr/>
            <w:r>
              <w:rPr>
                <w:lang w:val="zh-CN"/>
                <w:rFonts w:ascii="Times New Roman" w:hAnsi="Times New Roman" w:cs="Times New Roman"/>
                <w:sz w:val="20"/>
                <w:szCs w:val="20"/>
                <w:color w:val="000000"/>
              </w:rPr>
              <w:t>530125196807200868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3、周国祥</w:t>
            </w:r>
          </w:p>
        </w:tc>
        <w:tc>
          <w:tcPr>
            <w:tcW w:w="2310" w:type="dxa"/>
            <w:vAlign w:val="center"/>
            <w:gridSpan w:val="2"/>
          </w:tcPr>
          <w:p>
            <w:pPr/>
            <w:r>
              <w:rPr>
                <w:lang w:val="zh-CN"/>
                <w:rFonts w:ascii="Times New Roman" w:hAnsi="Times New Roman" w:cs="Times New Roman"/>
                <w:sz w:val="20"/>
                <w:szCs w:val="20"/>
                <w:color w:val="000000"/>
              </w:rPr>
              <w:t>530125195604200812</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2379.00</w:t>
            </w:r>
          </w:p>
        </w:tc>
        <w:tc>
          <w:tcPr>
            <w:tcW w:w="2310" w:type="dxa"/>
          </w:tcPr>
          <w:p>
            <w:pPr/>
            <w:r>
              <w:rPr>
                <w:lang w:val="zh-CN"/>
                <w:rFonts w:ascii="Times New Roman" w:hAnsi="Times New Roman" w:cs="Times New Roman"/>
                <w:sz w:val="20"/>
                <w:szCs w:val="20"/>
                <w:color w:val="000000"/>
              </w:rPr>
              <w:t>7137.00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总金额：柒仟壹佰叁拾柒元整</w:t>
            </w:r>
          </w:p>
        </w:tc>
        <w:tc>
          <w:tcPr>
            <w:tcW w:w="2310" w:type="dxa"/>
            <w:textDirection w:val="right"/>
            <w:gridSpan w:val="3"/>
          </w:tcPr>
          <w:p>
            <w:pPr/>
            <w:r>
              <w:rPr>
                <w:lang w:val="zh-CN"/>
                <w:rFonts w:ascii="Times New Roman" w:hAnsi="Times New Roman" w:cs="Times New Roman"/>
                <w:b/>
                <w:color w:val="FF0000"/>
              </w:rPr>
              <w:t>7137.00</w:t>
            </w:r>
          </w:p>
        </w:tc>
      </w:tr>
      <w:tr>
        <w:tc>
          <w:tcPr>
            <w:tcW w:w="2310" w:type="dxa"/>
            <w:gridSpan w:val="8"/>
          </w:tcPr>
          <w:p>
            <w:pPr/>
            <w:r>
              <w:rPr>
                <w:lang w:val="zh-CN"/>
                <w:rFonts w:ascii="Times New Roman" w:hAnsi="Times New Roman" w:cs="Times New Roman"/>
                <w:sz w:val="20"/>
                <w:szCs w:val="20"/>
                <w:color w:val="000000"/>
              </w:rPr>
              <w:t>单男拼住</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昆明-乌鲁木齐/吐鲁番(飞机)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根据航班时间乘机出发新疆，抵达后前往游览【库木塔格沙漠】无情多变的沙漠掩埋吞没了数不清的古代文明，唯独在鄯善县城脚下嘎然而止，停下了肆虐的脚步。游览结束后乘车前往入住酒店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2026/07/11</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2026/07/12</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乌鲁木齐/吐鲁番--昆明(飞机)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根据航班时间送至机场，后乘机返回昆明，结束愉快的行程。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交通：往返经济舱；2.旅游用车：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周艳丽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2026/7/2 10:00:19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