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昆明旅行社(国际)有限公司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 xml:space="preserve"> 赵松浩 </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13888098884</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任可梅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13987653794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独库疆湖双飞8天（纯玩）</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7(7大)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2026-08-04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1、廖依程</w:t>
            </w:r>
          </w:p>
        </w:tc>
        <w:tc>
          <w:tcPr>
            <w:tcW w:w="2310" w:type="dxa"/>
            <w:vAlign w:val="center"/>
            <w:gridSpan w:val="2"/>
          </w:tcPr>
          <w:p>
            <w:pPr/>
            <w:r>
              <w:rPr>
                <w:lang w:val="zh-CN"/>
                <w:rFonts w:ascii="Times New Roman" w:hAnsi="Times New Roman" w:cs="Times New Roman"/>
                <w:sz w:val="20"/>
                <w:szCs w:val="20"/>
                <w:color w:val="000000"/>
              </w:rPr>
              <w:t>530625200807200020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2、廖一诺</w:t>
            </w:r>
          </w:p>
        </w:tc>
        <w:tc>
          <w:tcPr>
            <w:tcW w:w="2310" w:type="dxa"/>
            <w:vAlign w:val="center"/>
            <w:gridSpan w:val="2"/>
          </w:tcPr>
          <w:p>
            <w:pPr/>
            <w:r>
              <w:rPr>
                <w:lang w:val="zh-CN"/>
                <w:rFonts w:ascii="Times New Roman" w:hAnsi="Times New Roman" w:cs="Times New Roman"/>
                <w:sz w:val="20"/>
                <w:szCs w:val="20"/>
                <w:color w:val="000000"/>
              </w:rPr>
              <w:t>530625201604120121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3、范丽</w:t>
            </w:r>
          </w:p>
        </w:tc>
        <w:tc>
          <w:tcPr>
            <w:tcW w:w="2310" w:type="dxa"/>
            <w:vAlign w:val="center"/>
            <w:gridSpan w:val="2"/>
          </w:tcPr>
          <w:p>
            <w:pPr/>
            <w:r>
              <w:rPr>
                <w:lang w:val="zh-CN"/>
                <w:rFonts w:ascii="Times New Roman" w:hAnsi="Times New Roman" w:cs="Times New Roman"/>
                <w:sz w:val="20"/>
                <w:szCs w:val="20"/>
                <w:color w:val="000000"/>
              </w:rPr>
              <w:t>530326198410033623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4、王艺洁</w:t>
            </w:r>
          </w:p>
        </w:tc>
        <w:tc>
          <w:tcPr>
            <w:tcW w:w="2310" w:type="dxa"/>
            <w:vAlign w:val="center"/>
            <w:gridSpan w:val="2"/>
          </w:tcPr>
          <w:p>
            <w:pPr/>
            <w:r>
              <w:rPr>
                <w:lang w:val="zh-CN"/>
                <w:rFonts w:ascii="Times New Roman" w:hAnsi="Times New Roman" w:cs="Times New Roman"/>
                <w:sz w:val="20"/>
                <w:szCs w:val="20"/>
                <w:color w:val="000000"/>
              </w:rPr>
              <w:t>530111201108071126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5、王麒麟</w:t>
            </w:r>
          </w:p>
        </w:tc>
        <w:tc>
          <w:tcPr>
            <w:tcW w:w="2310" w:type="dxa"/>
            <w:vAlign w:val="center"/>
            <w:gridSpan w:val="2"/>
          </w:tcPr>
          <w:p>
            <w:pPr/>
            <w:r>
              <w:rPr>
                <w:lang w:val="zh-CN"/>
                <w:rFonts w:ascii="Times New Roman" w:hAnsi="Times New Roman" w:cs="Times New Roman"/>
                <w:sz w:val="20"/>
                <w:szCs w:val="20"/>
                <w:color w:val="000000"/>
              </w:rPr>
              <w:t>532425197007181657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6、杨燕华</w:t>
            </w:r>
          </w:p>
        </w:tc>
        <w:tc>
          <w:tcPr>
            <w:tcW w:w="2310" w:type="dxa"/>
            <w:vAlign w:val="center"/>
            <w:gridSpan w:val="2"/>
          </w:tcPr>
          <w:p>
            <w:pPr/>
            <w:r>
              <w:rPr>
                <w:lang w:val="zh-CN"/>
                <w:rFonts w:ascii="Times New Roman" w:hAnsi="Times New Roman" w:cs="Times New Roman"/>
                <w:sz w:val="20"/>
                <w:szCs w:val="20"/>
                <w:color w:val="000000"/>
              </w:rPr>
              <w:t>532425197510170621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7、王熙</w:t>
            </w:r>
          </w:p>
        </w:tc>
        <w:tc>
          <w:tcPr>
            <w:tcW w:w="2310" w:type="dxa"/>
            <w:vAlign w:val="center"/>
            <w:gridSpan w:val="2"/>
          </w:tcPr>
          <w:p>
            <w:pPr/>
            <w:r>
              <w:rPr>
                <w:lang w:val="zh-CN"/>
                <w:rFonts w:ascii="Times New Roman" w:hAnsi="Times New Roman" w:cs="Times New Roman"/>
                <w:sz w:val="20"/>
                <w:szCs w:val="20"/>
                <w:color w:val="000000"/>
              </w:rPr>
              <w:t>530424200101181625</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6480.00</w:t>
            </w:r>
          </w:p>
        </w:tc>
        <w:tc>
          <w:tcPr>
            <w:tcW w:w="2310" w:type="dxa"/>
          </w:tcPr>
          <w:p>
            <w:pPr/>
            <w:r>
              <w:rPr>
                <w:lang w:val="zh-CN"/>
                <w:rFonts w:ascii="Times New Roman" w:hAnsi="Times New Roman" w:cs="Times New Roman"/>
                <w:sz w:val="20"/>
                <w:szCs w:val="20"/>
                <w:color w:val="000000"/>
              </w:rPr>
              <w:t>45360.00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总金额：肆万伍仟叁佰陆拾元整</w:t>
            </w:r>
          </w:p>
        </w:tc>
        <w:tc>
          <w:tcPr>
            <w:tcW w:w="2310" w:type="dxa"/>
            <w:textDirection w:val="right"/>
            <w:gridSpan w:val="3"/>
          </w:tcPr>
          <w:p>
            <w:pPr/>
            <w:r>
              <w:rPr>
                <w:lang w:val="zh-CN"/>
                <w:rFonts w:ascii="Times New Roman" w:hAnsi="Times New Roman" w:cs="Times New Roman"/>
                <w:b/>
                <w:color w:val="FF0000"/>
              </w:rPr>
              <w:t>45360.00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乌 鲁 木齐 - 天 山 隧 道 - 罗 布 人 村 寨 -和 静/ 巴 伦 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早餐后乘车沿天山胜利隧道赴【罗布人村寨】（不含门票区间车 )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和 静 - 巴 音 布 鲁 克 - 那 拉 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不含门票区间车），乘车穿越中国最美十大公路之一的——独库公路中段（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那 拉 提空 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早餐后乘车前往欣赏茫茫【那拉提空中草原】（不含空中草原区间车）。参观【那拉提花海景区】（进景区）(不含观光塔费用）；前往伊宁前往【六星街】，后入住酒店。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赛里木湖】(不含门票区间车)这里亦称三台海子，与果子沟唇齿相依，湖面海拔2073km，是新疆海拔高面积大的高山湖湖水浩瀚无垠、湖滨草地,绿高盈尺,湖泊四周群山环绕,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人间瑶池【天山天池风景区】（不含门票区间车)，天池是中国新疆维吾尔自治区著湖泊,在博格达峰北坡山腰。湖面海拔1910米，南北长3.5公里.东西宽0.8～1.5公里，最深处103米。天池成因有古冰蚀-终碛堰塞湖和山崩滑坡堰塞湖两说。游览石门一线、西小天池、大天池、定海神针、东小天池、南山望雪.西山观松。观赏雪峰倒映，湖水清绿的、前往【国际大巴扎】。</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库木塔格沙漠】无情多变的沙漠掩埋吞没了数不清的古代文明,唯独在鄯善县城脚下嘎然而止，停下了肆虐的脚步。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后【维吾尔族家访】(赠送项目如遇特殊情况费用不退),在葡萄架下品尝的香甜的瓜果，和当地人一起载歌载舞，岂不美哉！吐鲁番【坎儿井民俗园】含门票游览约40分钟）坎儿井是荒漠地区一特殊灌溉系统，与万里长城、京杭大运河并称为中国古代三大工程。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自理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 xml:space="preserve"> 赵松浩 </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任可梅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2026/7/17 11:25:24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