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山西鑫泽国际旅行社有限公司官渡西派分公司团队/散客确认书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栖桐</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1</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山西鑫泽国际旅行社有限公司官渡西派分公司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石荣宇</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XJ116FJ250825A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大疆南北双飞16日（散拼）</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2025-08-25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2025-09-09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6(6大)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1、张存珍</w:t>
            </w:r>
          </w:p>
        </w:tc>
        <w:tc>
          <w:tcPr>
            <w:tcW w:w="2310" w:type="dxa"/>
            <w:vAlign w:val="center"/>
            <w:gridSpan w:val="2"/>
          </w:tcPr>
          <w:p>
            <w:pPr/>
            <w:r>
              <w:rPr>
                <w:lang w:val="zh-CN"/>
                <w:rFonts w:ascii="Times New Roman" w:hAnsi="Times New Roman" w:cs="Times New Roman"/>
                <w:sz w:val="20"/>
                <w:szCs w:val="20"/>
                <w:color w:val="000000"/>
              </w:rPr>
              <w:t>张存珍  532502196501150924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2、赵宝萍</w:t>
            </w:r>
          </w:p>
        </w:tc>
        <w:tc>
          <w:tcPr>
            <w:tcW w:w="2310" w:type="dxa"/>
            <w:vAlign w:val="center"/>
            <w:gridSpan w:val="2"/>
          </w:tcPr>
          <w:p>
            <w:pPr/>
            <w:r>
              <w:rPr>
                <w:lang w:val="zh-CN"/>
                <w:rFonts w:ascii="Times New Roman" w:hAnsi="Times New Roman" w:cs="Times New Roman"/>
                <w:sz w:val="20"/>
                <w:szCs w:val="20"/>
                <w:color w:val="000000"/>
              </w:rPr>
              <w:t>赵宝萍      532502196305210045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3、杨金祥</w:t>
            </w:r>
          </w:p>
        </w:tc>
        <w:tc>
          <w:tcPr>
            <w:tcW w:w="2310" w:type="dxa"/>
            <w:vAlign w:val="center"/>
            <w:gridSpan w:val="2"/>
          </w:tcPr>
          <w:p>
            <w:pPr/>
            <w:r>
              <w:rPr>
                <w:lang w:val="zh-CN"/>
                <w:rFonts w:ascii="Times New Roman" w:hAnsi="Times New Roman" w:cs="Times New Roman"/>
                <w:sz w:val="20"/>
                <w:szCs w:val="20"/>
                <w:color w:val="000000"/>
              </w:rPr>
              <w:t>杨金祥 532502196405140056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4、王洪林</w:t>
            </w:r>
          </w:p>
        </w:tc>
        <w:tc>
          <w:tcPr>
            <w:tcW w:w="2310" w:type="dxa"/>
            <w:vAlign w:val="center"/>
            <w:gridSpan w:val="2"/>
          </w:tcPr>
          <w:p>
            <w:pPr/>
            <w:r>
              <w:rPr>
                <w:lang w:val="zh-CN"/>
                <w:rFonts w:ascii="Times New Roman" w:hAnsi="Times New Roman" w:cs="Times New Roman"/>
                <w:sz w:val="20"/>
                <w:szCs w:val="20"/>
                <w:color w:val="000000"/>
              </w:rPr>
              <w:t>王洪林 532502196412180910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5、张忠义</w:t>
            </w:r>
          </w:p>
        </w:tc>
        <w:tc>
          <w:tcPr>
            <w:tcW w:w="2310" w:type="dxa"/>
            <w:vAlign w:val="center"/>
            <w:gridSpan w:val="2"/>
          </w:tcPr>
          <w:p>
            <w:pPr/>
            <w:r>
              <w:rPr>
                <w:lang w:val="zh-CN"/>
                <w:rFonts w:ascii="Times New Roman" w:hAnsi="Times New Roman" w:cs="Times New Roman"/>
                <w:sz w:val="20"/>
                <w:szCs w:val="20"/>
                <w:color w:val="000000"/>
              </w:rPr>
              <w:t>张忠义      532502195908150913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6、白丽芬</w:t>
            </w:r>
          </w:p>
        </w:tc>
        <w:tc>
          <w:tcPr>
            <w:tcW w:w="2310" w:type="dxa"/>
            <w:vAlign w:val="center"/>
            <w:gridSpan w:val="2"/>
          </w:tcPr>
          <w:p>
            <w:pPr/>
            <w:r>
              <w:rPr>
                <w:lang w:val="zh-CN"/>
                <w:rFonts w:ascii="Times New Roman" w:hAnsi="Times New Roman" w:cs="Times New Roman"/>
                <w:sz w:val="20"/>
                <w:szCs w:val="20"/>
                <w:color w:val="000000"/>
              </w:rPr>
              <w:t>白丽芬 532502196608280921</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6</w:t>
            </w:r>
          </w:p>
        </w:tc>
        <w:tc>
          <w:tcPr>
            <w:tcW w:w="2310" w:type="dxa"/>
          </w:tcPr>
          <w:p>
            <w:pPr/>
            <w:r>
              <w:rPr>
                <w:lang w:val="zh-CN"/>
                <w:rFonts w:ascii="Times New Roman" w:hAnsi="Times New Roman" w:cs="Times New Roman"/>
                <w:sz w:val="20"/>
                <w:szCs w:val="20"/>
                <w:color w:val="000000"/>
              </w:rPr>
              <w:t>7880.00</w:t>
            </w:r>
          </w:p>
        </w:tc>
        <w:tc>
          <w:tcPr>
            <w:tcW w:w="2310" w:type="dxa"/>
          </w:tcPr>
          <w:p>
            <w:pPr/>
            <w:r>
              <w:rPr>
                <w:lang w:val="zh-CN"/>
                <w:rFonts w:ascii="Times New Roman" w:hAnsi="Times New Roman" w:cs="Times New Roman"/>
                <w:sz w:val="20"/>
                <w:szCs w:val="20"/>
                <w:color w:val="000000"/>
              </w:rPr>
              <w:t>47280.00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总金额：肆万柒仟贰佰捌拾元整</w:t>
            </w:r>
          </w:p>
        </w:tc>
        <w:tc>
          <w:tcPr>
            <w:tcW w:w="2310" w:type="dxa"/>
            <w:textDirection w:val="right"/>
            <w:gridSpan w:val="3"/>
          </w:tcPr>
          <w:p>
            <w:pPr/>
            <w:r>
              <w:rPr>
                <w:lang w:val="zh-CN"/>
                <w:rFonts w:ascii="Times New Roman" w:hAnsi="Times New Roman" w:cs="Times New Roman"/>
                <w:b/>
                <w:color w:val="FF0000"/>
              </w:rPr>
              <w:t>47280.00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中信银行昆明国贸支行</w:t>
            </w:r>
          </w:p>
        </w:tc>
        <w:tc>
          <w:tcPr>
            <w:tcW w:w="2310" w:type="dxa"/>
            <w:gridSpan w:val="2"/>
          </w:tcPr>
          <w:p>
            <w:pPr/>
            <w:r>
              <w:rPr>
                <w:lang w:val="zh-CN"/>
                <w:rFonts w:ascii="Times New Roman" w:hAnsi="Times New Roman" w:cs="Times New Roman"/>
                <w:sz w:val="20"/>
                <w:szCs w:val="20"/>
                <w:color w:val="000000"/>
              </w:rPr>
              <w:t>骆玉开</w:t>
            </w:r>
          </w:p>
        </w:tc>
        <w:tc>
          <w:tcPr>
            <w:tcW w:w="2310" w:type="dxa"/>
            <w:gridSpan w:val="3"/>
          </w:tcPr>
          <w:p>
            <w:pPr/>
            <w:r>
              <w:rPr>
                <w:lang w:val="zh-CN"/>
                <w:rFonts w:ascii="Times New Roman" w:hAnsi="Times New Roman" w:cs="Times New Roman"/>
                <w:sz w:val="20"/>
                <w:szCs w:val="20"/>
                <w:color w:val="000000"/>
              </w:rPr>
              <w:t>6217681901979511</w:t>
            </w:r>
          </w:p>
        </w:tc>
      </w:tr>
      <w:tr>
        <w:tc>
          <w:tcPr>
            <w:tcW w:w="2310" w:type="dxa"/>
            <w:gridSpan w:val="3"/>
          </w:tcPr>
          <w:p>
            <w:pPr/>
            <w:r>
              <w:rPr>
                <w:lang w:val="zh-CN"/>
                <w:rFonts w:ascii="Times New Roman" w:hAnsi="Times New Roman" w:cs="Times New Roman"/>
                <w:sz w:val="20"/>
                <w:szCs w:val="20"/>
                <w:color w:val="000000"/>
              </w:rPr>
              <w:t>兴业银行股份有限公司昆明滇池度假区支行</w:t>
            </w:r>
          </w:p>
        </w:tc>
        <w:tc>
          <w:tcPr>
            <w:tcW w:w="2310" w:type="dxa"/>
            <w:gridSpan w:val="2"/>
          </w:tcPr>
          <w:p>
            <w:pPr/>
            <w:r>
              <w:rPr>
                <w:lang w:val="zh-CN"/>
                <w:rFonts w:ascii="Times New Roman" w:hAnsi="Times New Roman" w:cs="Times New Roman"/>
                <w:sz w:val="20"/>
                <w:szCs w:val="20"/>
                <w:color w:val="000000"/>
              </w:rPr>
              <w:t>山西鑫泽国际旅行社有限公司云南昆明分公司</w:t>
            </w:r>
          </w:p>
        </w:tc>
        <w:tc>
          <w:tcPr>
            <w:tcW w:w="2310" w:type="dxa"/>
            <w:gridSpan w:val="3"/>
          </w:tcPr>
          <w:p>
            <w:pPr/>
            <w:r>
              <w:rPr>
                <w:lang w:val="zh-CN"/>
                <w:rFonts w:ascii="Times New Roman" w:hAnsi="Times New Roman" w:cs="Times New Roman"/>
                <w:sz w:val="20"/>
                <w:szCs w:val="20"/>
                <w:color w:val="000000"/>
              </w:rPr>
              <w:t>471190100100057852</w:t>
            </w:r>
          </w:p>
        </w:tc>
      </w:tr>
      <w:tr>
        <w:tc>
          <w:tcPr>
            <w:tcW w:w="2310" w:type="dxa"/>
            <w:gridSpan w:val="3"/>
          </w:tcPr>
          <w:p>
            <w:pPr/>
            <w:r>
              <w:rPr>
                <w:lang w:val="zh-CN"/>
                <w:rFonts w:ascii="Times New Roman" w:hAnsi="Times New Roman" w:cs="Times New Roman"/>
                <w:sz w:val="20"/>
                <w:szCs w:val="20"/>
                <w:color w:val="000000"/>
              </w:rPr>
              <w:t>兴业银行股份有限公司昆明高新支行</w:t>
            </w:r>
          </w:p>
        </w:tc>
        <w:tc>
          <w:tcPr>
            <w:tcW w:w="2310" w:type="dxa"/>
            <w:gridSpan w:val="2"/>
          </w:tcPr>
          <w:p>
            <w:pPr/>
            <w:r>
              <w:rPr>
                <w:lang w:val="zh-CN"/>
                <w:rFonts w:ascii="Times New Roman" w:hAnsi="Times New Roman" w:cs="Times New Roman"/>
                <w:sz w:val="20"/>
                <w:szCs w:val="20"/>
                <w:color w:val="000000"/>
              </w:rPr>
              <w:t>山西鑫泽国际旅行社有限公司官渡西派分公司</w:t>
            </w:r>
          </w:p>
        </w:tc>
        <w:tc>
          <w:tcPr>
            <w:tcW w:w="2310" w:type="dxa"/>
            <w:gridSpan w:val="3"/>
          </w:tcPr>
          <w:p>
            <w:pPr/>
            <w:r>
              <w:rPr>
                <w:lang w:val="zh-CN"/>
                <w:rFonts w:ascii="Times New Roman" w:hAnsi="Times New Roman" w:cs="Times New Roman"/>
                <w:sz w:val="20"/>
                <w:szCs w:val="20"/>
                <w:color w:val="000000"/>
              </w:rPr>
              <w:t>471170100100203093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2025/08/25</w:t>
            </w:r>
          </w:p>
        </w:tc>
        <w:tc>
          <w:tcPr>
            <w:tcW w:w="2310" w:type="dxa"/>
            <w:gridSpan w:val="7"/>
          </w:tcPr>
          <w:p>
            <w:pPr/>
            <w:r>
              <w:rPr>
                <w:lang w:val="zh-CN"/>
                <w:rFonts w:ascii="Times New Roman" w:hAnsi="Times New Roman" w:cs="Times New Roman"/>
                <w:b/>
                <w:color w:val="000000"/>
              </w:rPr>
              <w:t>昆明-吐鲁番</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昆明乘航班前往吐鲁番，后乘车举世闻名的“歌舞之乡、瓜果之乡、金玉之邦 ”—新疆自治区首府【乌鲁木齐】（准葛尔蒙古语   为“优美的牧场”），接机后入住酒店，今天行程结束。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早餐：自理；午餐：自理；晚餐：自理；住宿：乌鲁木齐</w:t>
            </w:r>
          </w:p>
        </w:tc>
      </w:tr>
      <w:tr>
        <w:tc>
          <w:tcPr>
            <w:tcW w:w="2310" w:type="dxa"/>
            <w:vAlign w:val="center"/>
            <w:vMerge w:val="restart"/>
          </w:tcPr>
          <w:p>
            <w:pPr/>
            <w:r>
              <w:rPr>
                <w:lang w:val="zh-CN"/>
                <w:rFonts w:ascii="Times New Roman" w:hAnsi="Times New Roman" w:cs="Times New Roman"/>
                <w:sz w:val="20"/>
                <w:szCs w:val="20"/>
                <w:color w:val="000000"/>
              </w:rPr>
              <w:t>2025/08/26</w:t>
            </w:r>
          </w:p>
        </w:tc>
        <w:tc>
          <w:tcPr>
            <w:tcW w:w="2310" w:type="dxa"/>
            <w:gridSpan w:val="7"/>
          </w:tcPr>
          <w:p>
            <w:pPr/>
            <w:r>
              <w:rPr>
                <w:lang w:val="zh-CN"/>
                <w:rFonts w:ascii="Times New Roman" w:hAnsi="Times New Roman" w:cs="Times New Roman"/>
                <w:b/>
                <w:color w:val="000000"/>
              </w:rPr>
              <w:t xml:space="preserve">乌鲁木齐-可可托海-富蕴县/福海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早餐后乘车前往国家5A级景区—【可可托海】，游览结束后返回酒店办理入住。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早餐：含；午餐：含；晚餐：含；住宿：富蕴县/福海</w:t>
            </w:r>
          </w:p>
        </w:tc>
      </w:tr>
      <w:tr>
        <w:tc>
          <w:tcPr>
            <w:tcW w:w="2310" w:type="dxa"/>
            <w:vAlign w:val="center"/>
            <w:vMerge w:val="restart"/>
          </w:tcPr>
          <w:p>
            <w:pPr/>
            <w:r>
              <w:rPr>
                <w:lang w:val="zh-CN"/>
                <w:rFonts w:ascii="Times New Roman" w:hAnsi="Times New Roman" w:cs="Times New Roman"/>
                <w:sz w:val="20"/>
                <w:szCs w:val="20"/>
                <w:color w:val="000000"/>
              </w:rPr>
              <w:t>2025/08/27</w:t>
            </w:r>
          </w:p>
        </w:tc>
        <w:tc>
          <w:tcPr>
            <w:tcW w:w="2310" w:type="dxa"/>
            <w:gridSpan w:val="7"/>
          </w:tcPr>
          <w:p>
            <w:pPr/>
            <w:r>
              <w:rPr>
                <w:lang w:val="zh-CN"/>
                <w:rFonts w:ascii="Times New Roman" w:hAnsi="Times New Roman" w:cs="Times New Roman"/>
                <w:b/>
                <w:color w:val="000000"/>
              </w:rPr>
              <w:t>布尔津/福海-喀纳斯湖（三湾） -贾登峪</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早餐后前往【喀纳斯湖风景区】，游览喀纳斯结束后乘车返回酒店。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早餐：含；午餐：含；晚餐：含；住宿：贾登峪/冲乎尔/布尔津/哈巴河</w:t>
            </w:r>
          </w:p>
        </w:tc>
      </w:tr>
      <w:tr>
        <w:tc>
          <w:tcPr>
            <w:tcW w:w="2310" w:type="dxa"/>
            <w:vAlign w:val="center"/>
            <w:vMerge w:val="restart"/>
          </w:tcPr>
          <w:p>
            <w:pPr/>
            <w:r>
              <w:rPr>
                <w:lang w:val="zh-CN"/>
                <w:rFonts w:ascii="Times New Roman" w:hAnsi="Times New Roman" w:cs="Times New Roman"/>
                <w:sz w:val="20"/>
                <w:szCs w:val="20"/>
                <w:color w:val="000000"/>
              </w:rPr>
              <w:t>2025/08/28</w:t>
            </w:r>
          </w:p>
        </w:tc>
        <w:tc>
          <w:tcPr>
            <w:tcW w:w="2310" w:type="dxa"/>
            <w:gridSpan w:val="7"/>
          </w:tcPr>
          <w:p>
            <w:pPr/>
            <w:r>
              <w:rPr>
                <w:lang w:val="zh-CN"/>
                <w:rFonts w:ascii="Times New Roman" w:hAnsi="Times New Roman" w:cs="Times New Roman"/>
                <w:b/>
                <w:color w:val="000000"/>
              </w:rPr>
              <w:t>禾木村-布尔津/北屯</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早餐后乘车前往“神的后花园”—【禾木乡】，浏览结束后  前往酒店办理入住。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早餐：含；午餐：含；晚餐：含；住宿：布尔津/北屯/哈巴河</w:t>
            </w:r>
          </w:p>
        </w:tc>
      </w:tr>
      <w:tr>
        <w:tc>
          <w:tcPr>
            <w:tcW w:w="2310" w:type="dxa"/>
            <w:vAlign w:val="center"/>
            <w:vMerge w:val="restart"/>
          </w:tcPr>
          <w:p>
            <w:pPr/>
            <w:r>
              <w:rPr>
                <w:lang w:val="zh-CN"/>
                <w:rFonts w:ascii="Times New Roman" w:hAnsi="Times New Roman" w:cs="Times New Roman"/>
                <w:sz w:val="20"/>
                <w:szCs w:val="20"/>
                <w:color w:val="000000"/>
              </w:rPr>
              <w:t>2025/08/29</w:t>
            </w:r>
          </w:p>
        </w:tc>
        <w:tc>
          <w:tcPr>
            <w:tcW w:w="2310" w:type="dxa"/>
            <w:gridSpan w:val="7"/>
          </w:tcPr>
          <w:p>
            <w:pPr/>
            <w:r>
              <w:rPr>
                <w:lang w:val="zh-CN"/>
                <w:rFonts w:ascii="Times New Roman" w:hAnsi="Times New Roman" w:cs="Times New Roman"/>
                <w:b/>
                <w:color w:val="000000"/>
              </w:rPr>
              <w:t>布尔津-五彩滩-网红 S21 国道-乌鲁木齐/昌吉/呼图壁</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餐后乘车前往中国唯一注入北冰洋的河流——额尔齐斯河河畔的【五彩滩】，午餐后沿S21沙 漠公路前往五家渠，游览结束后乘车返回酒店。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早餐：含；午餐：含；晚餐：含；住宿：乌鲁木齐/昌吉/呼图壁</w:t>
            </w:r>
          </w:p>
        </w:tc>
      </w:tr>
      <w:tr>
        <w:tc>
          <w:tcPr>
            <w:tcW w:w="2310" w:type="dxa"/>
            <w:vAlign w:val="center"/>
            <w:vMerge w:val="restart"/>
          </w:tcPr>
          <w:p>
            <w:pPr/>
            <w:r>
              <w:rPr>
                <w:lang w:val="zh-CN"/>
                <w:rFonts w:ascii="Times New Roman" w:hAnsi="Times New Roman" w:cs="Times New Roman"/>
                <w:sz w:val="20"/>
                <w:szCs w:val="20"/>
                <w:color w:val="000000"/>
              </w:rPr>
              <w:t>2025/08/30</w:t>
            </w:r>
          </w:p>
        </w:tc>
        <w:tc>
          <w:tcPr>
            <w:tcW w:w="2310" w:type="dxa"/>
            <w:gridSpan w:val="7"/>
          </w:tcPr>
          <w:p>
            <w:pPr/>
            <w:r>
              <w:rPr>
                <w:lang w:val="zh-CN"/>
                <w:rFonts w:ascii="Times New Roman" w:hAnsi="Times New Roman" w:cs="Times New Roman"/>
                <w:b/>
                <w:color w:val="000000"/>
              </w:rPr>
              <w:t xml:space="preserve"> 乌鲁木齐/昌吉-吐鲁番-乌鲁木齐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早餐后前往【新疆玉石博物馆】参观（约120分钟/店），游览吐鲁番的象征、素有“八百里火焰”之   称的芭蕉扇【火焰山】游览极度干旱地区的生命  血脉、 中国古代三大文明工程的【郡王府坎儿井】（游览约 30分钟 ）、人们无不为它设计构思的巧妙，工程的艰巨而赞叹。 它也是我国各族人民智慧的结晶、勤劳的丰碑！后进入【农家小院】 中，品尝时令水果，欣赏特色歌舞。后乘车前往  乌鲁木齐入住酒店。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早餐：含；午餐：含；晚餐：含；住宿：乌鲁木齐/昌吉/米泉</w:t>
            </w:r>
          </w:p>
        </w:tc>
      </w:tr>
      <w:tr>
        <w:tc>
          <w:tcPr>
            <w:tcW w:w="2310" w:type="dxa"/>
            <w:vAlign w:val="center"/>
            <w:vMerge w:val="restart"/>
          </w:tcPr>
          <w:p>
            <w:pPr/>
            <w:r>
              <w:rPr>
                <w:lang w:val="zh-CN"/>
                <w:rFonts w:ascii="Times New Roman" w:hAnsi="Times New Roman" w:cs="Times New Roman"/>
                <w:sz w:val="20"/>
                <w:szCs w:val="20"/>
                <w:color w:val="000000"/>
              </w:rPr>
              <w:t>2025/08/31</w:t>
            </w:r>
          </w:p>
        </w:tc>
        <w:tc>
          <w:tcPr>
            <w:tcW w:w="2310" w:type="dxa"/>
            <w:gridSpan w:val="7"/>
          </w:tcPr>
          <w:p>
            <w:pPr/>
            <w:r>
              <w:rPr>
                <w:lang w:val="zh-CN"/>
                <w:rFonts w:ascii="Times New Roman" w:hAnsi="Times New Roman" w:cs="Times New Roman"/>
                <w:b/>
                <w:color w:val="000000"/>
              </w:rPr>
              <w:t>乌鲁木齐/昌吉-天池-奎屯</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新疆玉石博物馆】参观（约120分钟/店）新疆的和田玉是中国最著名的玉石，古代上至帝王将相，下至黎民百姓都热烈追捧，几千年来人们，崇玉、爱玉、赏玉、玩玉、藏玉，人们对玉怀着一种特殊的情感，无论放   在哪里，都会散发出巨大的魅力。后乘车后前往【驼绒文化馆】 了解当地的特产特色后赴亚欧大陆腹地干旱区自然景   观的代表景区【天山天池风景区】。后入住酒店休息。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早餐：含；午餐：含；晚餐：含；住宿：奎屯</w:t>
            </w:r>
          </w:p>
        </w:tc>
      </w:tr>
      <w:tr>
        <w:tc>
          <w:tcPr>
            <w:tcW w:w="2310" w:type="dxa"/>
            <w:vAlign w:val="center"/>
            <w:vMerge w:val="restart"/>
          </w:tcPr>
          <w:p>
            <w:pPr/>
            <w:r>
              <w:rPr>
                <w:lang w:val="zh-CN"/>
                <w:rFonts w:ascii="Times New Roman" w:hAnsi="Times New Roman" w:cs="Times New Roman"/>
                <w:sz w:val="20"/>
                <w:szCs w:val="20"/>
                <w:color w:val="000000"/>
              </w:rPr>
              <w:t>2025/09/01</w:t>
            </w:r>
          </w:p>
        </w:tc>
        <w:tc>
          <w:tcPr>
            <w:tcW w:w="2310" w:type="dxa"/>
            <w:gridSpan w:val="7"/>
          </w:tcPr>
          <w:p>
            <w:pPr/>
            <w:r>
              <w:rPr>
                <w:lang w:val="zh-CN"/>
                <w:rFonts w:ascii="Times New Roman" w:hAnsi="Times New Roman" w:cs="Times New Roman"/>
                <w:b/>
                <w:color w:val="000000"/>
              </w:rPr>
              <w:t>奎屯—赛里木湖--伊宁市</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早餐后前往前往赛里木湖，抵达后游览神秘美丽的【赛里木湖】后乘车前往伊宁市入住酒店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早餐：含；午餐：含；晚餐：含；住宿：博乐/双河</w:t>
            </w:r>
          </w:p>
        </w:tc>
      </w:tr>
      <w:tr>
        <w:tc>
          <w:tcPr>
            <w:tcW w:w="2310" w:type="dxa"/>
            <w:vAlign w:val="center"/>
            <w:vMerge w:val="restart"/>
          </w:tcPr>
          <w:p>
            <w:pPr/>
            <w:r>
              <w:rPr>
                <w:lang w:val="zh-CN"/>
                <w:rFonts w:ascii="Times New Roman" w:hAnsi="Times New Roman" w:cs="Times New Roman"/>
                <w:sz w:val="20"/>
                <w:szCs w:val="20"/>
                <w:color w:val="000000"/>
              </w:rPr>
              <w:t>2025/09/02</w:t>
            </w:r>
          </w:p>
        </w:tc>
        <w:tc>
          <w:tcPr>
            <w:tcW w:w="2310" w:type="dxa"/>
            <w:gridSpan w:val="7"/>
          </w:tcPr>
          <w:p>
            <w:pPr/>
            <w:r>
              <w:rPr>
                <w:lang w:val="zh-CN"/>
                <w:rFonts w:ascii="Times New Roman" w:hAnsi="Times New Roman" w:cs="Times New Roman"/>
                <w:b/>
                <w:color w:val="000000"/>
              </w:rPr>
              <w:t>伊宁--那拉提/新源</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早餐后前往游览太阳升起的地方”—世界四大河谷草原——【那拉提大草原】乘坐景区区间车进入景区游 览观光，可选择适合的项目自由活动，如骑马、漂流、双人自行车、草地摩托车等。那拉提草原是世界四大 草原之一的亚高山草甸植物区， 自古以来就是著名的牧场。河谷、 山峰、深峡、森林在这里交相辉映。优美 的草原风光与当地哈萨克民俗风情结合在一起，成为新疆著名的旅游观光度假区。现已建成旅游功能齐全的 那拉提国家森林公园和旅游度假村。后乘车返回酒店，办理入住。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早餐：含；午餐：含；晚餐：含；住宿：那拉提/新源</w:t>
            </w:r>
          </w:p>
        </w:tc>
      </w:tr>
      <w:tr>
        <w:tc>
          <w:tcPr>
            <w:tcW w:w="2310" w:type="dxa"/>
            <w:vAlign w:val="center"/>
            <w:vMerge w:val="restart"/>
          </w:tcPr>
          <w:p>
            <w:pPr/>
            <w:r>
              <w:rPr>
                <w:lang w:val="zh-CN"/>
                <w:rFonts w:ascii="Times New Roman" w:hAnsi="Times New Roman" w:cs="Times New Roman"/>
                <w:sz w:val="20"/>
                <w:szCs w:val="20"/>
                <w:color w:val="000000"/>
              </w:rPr>
              <w:t>2025/09/03</w:t>
            </w:r>
          </w:p>
        </w:tc>
        <w:tc>
          <w:tcPr>
            <w:tcW w:w="2310" w:type="dxa"/>
            <w:gridSpan w:val="7"/>
          </w:tcPr>
          <w:p>
            <w:pPr/>
            <w:r>
              <w:rPr>
                <w:lang w:val="zh-CN"/>
                <w:rFonts w:ascii="Times New Roman" w:hAnsi="Times New Roman" w:cs="Times New Roman"/>
                <w:b/>
                <w:color w:val="000000"/>
              </w:rPr>
              <w:t xml:space="preserve"> 那拉提——和静/库尔勒</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早起后乘车前往和静/库尔勒，沿途观赏沿途观光巩乃斯河谷原始森林，抵达后入住酒店。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早餐：含；午餐：含；晚餐：含；住宿：和静/库尔勒</w:t>
            </w:r>
          </w:p>
        </w:tc>
      </w:tr>
      <w:tr>
        <w:tc>
          <w:tcPr>
            <w:tcW w:w="2310" w:type="dxa"/>
            <w:vAlign w:val="center"/>
            <w:vMerge w:val="restart"/>
          </w:tcPr>
          <w:p>
            <w:pPr/>
            <w:r>
              <w:rPr>
                <w:lang w:val="zh-CN"/>
                <w:rFonts w:ascii="Times New Roman" w:hAnsi="Times New Roman" w:cs="Times New Roman"/>
                <w:sz w:val="20"/>
                <w:szCs w:val="20"/>
                <w:color w:val="000000"/>
              </w:rPr>
              <w:t>2025/09/04</w:t>
            </w:r>
          </w:p>
        </w:tc>
        <w:tc>
          <w:tcPr>
            <w:tcW w:w="2310" w:type="dxa"/>
            <w:gridSpan w:val="7"/>
          </w:tcPr>
          <w:p>
            <w:pPr/>
            <w:r>
              <w:rPr>
                <w:lang w:val="zh-CN"/>
                <w:rFonts w:ascii="Times New Roman" w:hAnsi="Times New Roman" w:cs="Times New Roman"/>
                <w:b/>
                <w:color w:val="000000"/>
              </w:rPr>
              <w:t xml:space="preserve">和静/库尔勒--罗布人村寨（或博斯腾湖）--喀什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早餐后乘车赴南疆代表性景点【罗布人村寨】，如若遇到罗布人村寨还没开放就无异议改为博斯腾湖，含门票，对此客人无任何异议。后乘车前往库尔勒坐火车前往喀什。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早餐：含；午餐：含；晚餐：含；住宿：火车上</w:t>
            </w:r>
          </w:p>
        </w:tc>
      </w:tr>
      <w:tr>
        <w:tc>
          <w:tcPr>
            <w:tcW w:w="2310" w:type="dxa"/>
            <w:vAlign w:val="center"/>
            <w:vMerge w:val="restart"/>
          </w:tcPr>
          <w:p>
            <w:pPr/>
            <w:r>
              <w:rPr>
                <w:lang w:val="zh-CN"/>
                <w:rFonts w:ascii="Times New Roman" w:hAnsi="Times New Roman" w:cs="Times New Roman"/>
                <w:sz w:val="20"/>
                <w:szCs w:val="20"/>
                <w:color w:val="000000"/>
              </w:rPr>
              <w:t>2025/09/05</w:t>
            </w:r>
          </w:p>
        </w:tc>
        <w:tc>
          <w:tcPr>
            <w:tcW w:w="2310" w:type="dxa"/>
            <w:gridSpan w:val="7"/>
          </w:tcPr>
          <w:p>
            <w:pPr/>
            <w:r>
              <w:rPr>
                <w:lang w:val="zh-CN"/>
                <w:rFonts w:ascii="Times New Roman" w:hAnsi="Times New Roman" w:cs="Times New Roman"/>
                <w:b/>
                <w:color w:val="000000"/>
              </w:rPr>
              <w:t xml:space="preserve">喀什--喀拉库里湖--塔县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早餐后游览【卡拉库里湖】。后前往【白沙湖】白沙湖，晚抵达喀什入住酒店。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早餐：含；午餐：含；晚餐：含；住宿：塔县</w:t>
            </w:r>
          </w:p>
        </w:tc>
      </w:tr>
      <w:tr>
        <w:tc>
          <w:tcPr>
            <w:tcW w:w="2310" w:type="dxa"/>
            <w:vAlign w:val="center"/>
            <w:vMerge w:val="restart"/>
          </w:tcPr>
          <w:p>
            <w:pPr/>
            <w:r>
              <w:rPr>
                <w:lang w:val="zh-CN"/>
                <w:rFonts w:ascii="Times New Roman" w:hAnsi="Times New Roman" w:cs="Times New Roman"/>
                <w:sz w:val="20"/>
                <w:szCs w:val="20"/>
                <w:color w:val="000000"/>
              </w:rPr>
              <w:t>2025/09/06</w:t>
            </w:r>
          </w:p>
        </w:tc>
        <w:tc>
          <w:tcPr>
            <w:tcW w:w="2310" w:type="dxa"/>
            <w:gridSpan w:val="7"/>
          </w:tcPr>
          <w:p>
            <w:pPr/>
            <w:r>
              <w:rPr>
                <w:lang w:val="zh-CN"/>
                <w:rFonts w:ascii="Times New Roman" w:hAnsi="Times New Roman" w:cs="Times New Roman"/>
                <w:b/>
                <w:color w:val="000000"/>
              </w:rPr>
              <w:t xml:space="preserve">塔县-金草滩、石头城-盘龙古道-喀什市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 ，出发前往游览【石头城、金草滩】。 随后换乘小车前往【盘龙古道】。后前往喀什，入住酒店休息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早餐：含；午餐：含；晚餐：含；住宿：喀什</w:t>
            </w:r>
          </w:p>
        </w:tc>
      </w:tr>
      <w:tr>
        <w:tc>
          <w:tcPr>
            <w:tcW w:w="2310" w:type="dxa"/>
            <w:vAlign w:val="center"/>
            <w:vMerge w:val="restart"/>
          </w:tcPr>
          <w:p>
            <w:pPr/>
            <w:r>
              <w:rPr>
                <w:lang w:val="zh-CN"/>
                <w:rFonts w:ascii="Times New Roman" w:hAnsi="Times New Roman" w:cs="Times New Roman"/>
                <w:sz w:val="20"/>
                <w:szCs w:val="20"/>
                <w:color w:val="000000"/>
              </w:rPr>
              <w:t>2025/09/07</w:t>
            </w:r>
          </w:p>
        </w:tc>
        <w:tc>
          <w:tcPr>
            <w:tcW w:w="2310" w:type="dxa"/>
            <w:gridSpan w:val="7"/>
          </w:tcPr>
          <w:p>
            <w:pPr/>
            <w:r>
              <w:rPr>
                <w:lang w:val="zh-CN"/>
                <w:rFonts w:ascii="Times New Roman" w:hAnsi="Times New Roman" w:cs="Times New Roman"/>
                <w:b/>
                <w:color w:val="000000"/>
              </w:rPr>
              <w:t xml:space="preserve"> 喀什-达瓦昆-喀什市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早接火车前往随后前往乘车前往国内第一大沙漠—    —塔克拉玛干沙漠的边缘【达瓦昆沙漠风景区】，游览结束后入住酒店休息。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早餐：含；午餐：含；晚餐：含；住宿：喀什</w:t>
            </w:r>
          </w:p>
        </w:tc>
      </w:tr>
      <w:tr>
        <w:tc>
          <w:tcPr>
            <w:tcW w:w="2310" w:type="dxa"/>
            <w:vAlign w:val="center"/>
            <w:vMerge w:val="restart"/>
          </w:tcPr>
          <w:p>
            <w:pPr/>
            <w:r>
              <w:rPr>
                <w:lang w:val="zh-CN"/>
                <w:rFonts w:ascii="Times New Roman" w:hAnsi="Times New Roman" w:cs="Times New Roman"/>
                <w:sz w:val="20"/>
                <w:szCs w:val="20"/>
                <w:color w:val="000000"/>
              </w:rPr>
              <w:t>2025/09/08</w:t>
            </w:r>
          </w:p>
        </w:tc>
        <w:tc>
          <w:tcPr>
            <w:tcW w:w="2310" w:type="dxa"/>
            <w:gridSpan w:val="7"/>
          </w:tcPr>
          <w:p>
            <w:pPr/>
            <w:r>
              <w:rPr>
                <w:lang w:val="zh-CN"/>
                <w:rFonts w:ascii="Times New Roman" w:hAnsi="Times New Roman" w:cs="Times New Roman"/>
                <w:b/>
                <w:color w:val="000000"/>
              </w:rPr>
              <w:t>喀什--喀什市区--喀什</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早餐后乘车前往【喀什古城】。后前往【喀什艾提尕尔清真寺】。后抵达酒店入住酒店.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早餐：含；午餐：含；晚餐：含；住宿：喀什</w:t>
            </w:r>
          </w:p>
        </w:tc>
      </w:tr>
      <w:tr>
        <w:tc>
          <w:tcPr>
            <w:tcW w:w="2310" w:type="dxa"/>
            <w:vAlign w:val="center"/>
            <w:vMerge w:val="restart"/>
          </w:tcPr>
          <w:p>
            <w:pPr/>
            <w:r>
              <w:rPr>
                <w:lang w:val="zh-CN"/>
                <w:rFonts w:ascii="Times New Roman" w:hAnsi="Times New Roman" w:cs="Times New Roman"/>
                <w:sz w:val="20"/>
                <w:szCs w:val="20"/>
                <w:color w:val="000000"/>
              </w:rPr>
              <w:t>2025/09/09</w:t>
            </w:r>
          </w:p>
        </w:tc>
        <w:tc>
          <w:tcPr>
            <w:tcW w:w="2310" w:type="dxa"/>
            <w:gridSpan w:val="7"/>
          </w:tcPr>
          <w:p>
            <w:pPr/>
            <w:r>
              <w:rPr>
                <w:lang w:val="zh-CN"/>
                <w:rFonts w:ascii="Times New Roman" w:hAnsi="Times New Roman" w:cs="Times New Roman"/>
                <w:b/>
                <w:color w:val="000000"/>
              </w:rPr>
              <w:t>喀什---昆明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早餐后根据航班时间送机，结束愉快行程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早餐：含；午餐：自理；晚餐：自理；住宿：温馨的家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 住宿费用：住宿费用： 12晚当地四星酒店+2  晚当地五星酒店（如产生单男单女 ， 团友需补房差）。  我社不提供自然单间，如出现单男单女， 由客人补单房差。新疆地区限速严重，行程中的住宿根据实际情况进 行调整，不降低接待标准。2、  用餐费用：全程含15早28正，正餐餐标 30元/人/正(特色餐餐标除外)，十人一桌，八菜一汤，不含酒 水；人数增减时菜量相应增减； 房费中所含早餐，若客人不用，费用不退；此团价格为打包优惠价所有正餐不 吃不退。3、 交通：往返大交通 ，北疆当地2+1旅游大巴，南疆2+2空调旅游大巴车，车型根据此团游客人数而定，保证每人每正座，若客人 自行放弃当日行程，车费不予退还。4、 导游费用：当地普通话优秀导游服务。10人及以下不提供导游，司机兼向导，不做专业讲解，可办理相关 事宜。）5、景点费用：实际游览景点（含景点首道大门票）：吐鲁番（坎儿井、火焰山）、天山天池（含门票+区间车）、 喀纳斯（含门票+区间车）、五彩滩（含门票）、禾木（含门票+区间车）、可可托海（含门票+区间车）、伊宁（赛  里木湖门票+区间车），独山子大峡谷、那拉提，罗布人村寨，达瓦昆沙漠，卡拉库里湖， 白沙湖，金草滩+石  头城，艾提尕尔清真寺提示：不含景区内其它自费项目及自费景点门票。报价已为旅行社团队的折扣价，故行程中已包含的景门    票对所有证件（学生证、教师证、老年证、残疾证等证件）均不享受任何优惠政策，其优惠价格不予退（赠 送/新增景点自愿放弃费用不退。军人除外,按照旅行社协议价退）；6、费用说明：我社保留因不可抗拒因素（如天气、路况、航班原因等）对行程调整的权利，但行程内游览景 点不减少，如因此不可抗拒因素造成客人滞留，或其他费用的增加， 由客人自理、游客在旅游期间自动离团及 不游景点，不用餐，旅行社不退任何费用7、 儿童费用：11岁及以下儿童只含导服、车位、半餐费，不含门票、床位费，产生自理。8、 火车费用：库尔勒--喀什 ，喀什--乌鲁木齐，两段火车硬卧，不保证铺位9、进店说明及个人消费：全程 2个玉石购物店+1棉花特产店（景区内小摊以及购物不算购物店），进店游览 时间约 120 分钟，如需购物或参加另行付费的旅游项目，并和旅游者协商一致 ，同时在当地补签以上自愿去 购物店和参加另行付费旅游项目的相关合同行程外的自费项目、酒店内洗衣、理发、 电话、传真、收费电视、 饮品、烟酒等个人消费产生的费用。备注：此团价格为打包优惠后的价格，任何门票优惠证件，所有费用不用不退，敬请谅解；</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1、我社有权在不减少景点的前提下,调整景点游览次序及时间.2、如出现单数的情况下,请补单房差。 (不拼房，不加床，不安排三人间)3、 1.2米以下儿童只含车、半餐、导服，其他费用由客人自理。4、如遇天气、 自然灾害、政府政策性调价等不可抗拒的因素导致行程延误及变更费用我社不负担责任。5、我们的接待品质是以游客合理签字反馈意见为据,为维护游客和旅行社利益,请客人认真填写,行程结束后如有 客人投诉与所签意见单不符，我社以所签意见单为准！</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1、年龄划分 ：28-69岁。 2-11岁为儿童（只含车位费及半餐，不含床位不含门票不含早餐）， 12-27岁加收500元附加费，以年份为准，年龄超过70岁的老人不建议参加此行程，敬请见谅！2、人数:2-6人。6人无同车，7-10人补同车费300元/人、11-12人补同车费600元/人、13人以上单议！（请 注意儿童或者婴儿也参与同车人数计算）。3、全男、单男、单女恕不接待! 男女比例：女≥男。4、团队游览期间旅游者擅自离团视同游客违约,赔付合同违约金2500元，旅行社与其旅游服务关系自动终止， 未发生的费用不退，且不对游客离团期间发生的意外承担责任。 因不可抗力因素产生的一切费用由客人承担。5、此报价按照2人出游使用一个标间报价、成人不允许不占床。6、所有时间安排，游览顺序仅供参考， 由于交通天气路况等诸多因素导游有权对行程安排进行合理调整！7、特别赠送的自费项目， 因客人自身原因放弃，费用不退！所有散客名单 ，以双方确认件为准。请组团社仔 细核对客人名单，以免出现客人信息错误，我社将不承担任何损失！恕不接待细则：请恕我社无法正常接待有以下任何情况之一的游客   1.新疆当地报团；新疆当地散团或无正常返程航班的客人恕不接待。 2.已经走过其他地区环线继续走新疆线路客人恕不接待。3.残疾人、港澳台同胞、旅行社从业人员及亲属、华侨及外宾恕不接待。4.团队打散或不认识的人擅自拼在一起的散客（如同一个单位分批、分天走或者不认识的当做一组人发计划的， 一经发现成本结算）。5.记者、导游、律师、旅游从业人员及其亲友等恕不接待，孕妇恕不接待。</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1</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石荣宇</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8</w:t>
                  </w:r>
                  <w:r w:rsidR="00192D3B">
                    <w:rPr>
                      <w:rFonts w:asciiTheme="minorEastAsia" w:hAnsiTheme="minorEastAsia" w:hint="eastAsia"/>
                    </w:rPr>
                    <w:t xml:space="preserve">月 </w:t>
                  </w:r>
                  <w:r>
                    <w:rPr>
                      <w:rFonts w:asciiTheme="minorEastAsia" w:hAnsiTheme="minorEastAsia" w:hint="eastAsia"/>
                    </w:rPr>
                    <w:t>20</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2025/8/20 14:31:23</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