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云南淘旅国际旅行社(曲靖三江东路门市部)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敖秀娟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13108635666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敖秀娟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2025/8/14 9:42:42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