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红塔国旅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林总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XJT08FJ250818B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相约喀纳斯双飞8日（散拼包机）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11(11大)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1、严朴仙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53240119640222122X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2、万玲仙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532401196410040023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3、李跃琼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532428197003141745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4、龚家祥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532428196208222317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5、李美琼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532428196611250027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6、杨有发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53280119620115371X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7、余少俊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532401196303180039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8、肖凤珍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532401196407200049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9、钟开明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532401196210041814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10、辛光文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532401196304120054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总金额：贰万捌仟叁佰捌拾元整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28380.00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林总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2025/8/15 13:27:25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