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3、程艳艳</w:t>
            </w:r>
          </w:p>
        </w:tc>
        <w:tc>
          <w:tcPr>
            <w:tcW w:w="2310" w:type="dxa"/>
            <w:vAlign w:val="center"/>
            <w:gridSpan w:val="2"/>
          </w:tcPr>
          <w:p>
            <w:pPr/>
            <w:r>
              <w:rPr>
                <w:lang w:val="zh-CN"/>
                <w:rFonts w:ascii="Times New Roman" w:hAnsi="Times New Roman" w:cs="Times New Roman"/>
                <w:sz w:val="20"/>
                <w:szCs w:val="20"/>
                <w:color w:val="000000"/>
              </w:rPr>
              <w:t>530111196312100023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4、方洱</w:t>
            </w:r>
          </w:p>
        </w:tc>
        <w:tc>
          <w:tcPr>
            <w:tcW w:w="2310" w:type="dxa"/>
            <w:vAlign w:val="center"/>
            <w:gridSpan w:val="2"/>
          </w:tcPr>
          <w:p>
            <w:pPr/>
            <w:r>
              <w:rPr>
                <w:lang w:val="zh-CN"/>
                <w:rFonts w:ascii="Times New Roman" w:hAnsi="Times New Roman" w:cs="Times New Roman"/>
                <w:sz w:val="20"/>
                <w:szCs w:val="20"/>
                <w:color w:val="000000"/>
              </w:rPr>
              <w:t>530111296201100039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5、李春杰</w:t>
            </w:r>
          </w:p>
        </w:tc>
        <w:tc>
          <w:tcPr>
            <w:tcW w:w="2310" w:type="dxa"/>
            <w:vAlign w:val="center"/>
            <w:gridSpan w:val="2"/>
          </w:tcPr>
          <w:p>
            <w:pPr/>
            <w:r>
              <w:rPr>
                <w:lang w:val="zh-CN"/>
                <w:rFonts w:ascii="Times New Roman" w:hAnsi="Times New Roman" w:cs="Times New Roman"/>
                <w:sz w:val="20"/>
                <w:szCs w:val="20"/>
                <w:color w:val="000000"/>
              </w:rPr>
              <w:t>530112196709241648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6、曾玉华</w:t>
            </w:r>
          </w:p>
        </w:tc>
        <w:tc>
          <w:tcPr>
            <w:tcW w:w="2310" w:type="dxa"/>
            <w:vAlign w:val="center"/>
            <w:gridSpan w:val="2"/>
          </w:tcPr>
          <w:p>
            <w:pPr/>
            <w:r>
              <w:rPr>
                <w:lang w:val="zh-CN"/>
                <w:rFonts w:ascii="Times New Roman" w:hAnsi="Times New Roman" w:cs="Times New Roman"/>
                <w:sz w:val="20"/>
                <w:szCs w:val="20"/>
                <w:color w:val="000000"/>
              </w:rPr>
              <w:t>530112196702204123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46080.00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总金额：肆万陆仟零捌拾元整</w:t>
            </w:r>
          </w:p>
        </w:tc>
        <w:tc>
          <w:tcPr>
            <w:tcW w:w="2310" w:type="dxa"/>
            <w:textDirection w:val="right"/>
            <w:gridSpan w:val="3"/>
          </w:tcPr>
          <w:p>
            <w:pPr/>
            <w:r>
              <w:rPr>
                <w:lang w:val="zh-CN"/>
                <w:rFonts w:ascii="Times New Roman" w:hAnsi="Times New Roman" w:cs="Times New Roman"/>
                <w:b/>
                <w:color w:val="FF0000"/>
              </w:rPr>
              <w:t>46080.00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昆明乘航班前往吐鲁番，后乘车举世闻名的“歌舞之乡、瓜果之乡、金玉之邦 ”—新疆自治区首府【乌鲁木齐】（准葛尔蒙古语   为“优美的牧场”），接机后入住酒店，今天行程结束。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称的芭蕉扇【火焰山】游览极度干旱地区的生命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早餐后乘车赴南疆代表性景点【罗布人村寨】，如若遇到罗布人村寨还没开放就无异议改为博斯腾湖，含门票，对此客人无任何异议。后乘车前往库尔勒坐火车前往喀什。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交通：往返大交通 ，北疆当地2+1旅游大巴，南疆2+2空调旅游大巴车，车型根据此团游客人数而定，保证每人每正座，若客人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14:07:56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