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宜良周艳</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宜良周艳</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缪清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XJT08FJ260911A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（A6吐鲁番往返）金秋喀纳斯双飞8日</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2026-09-11</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2026-09-18</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13(13大)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2026-09-11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2026-09-18 A67104 吐鲁番→昆明 17:50-01:3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6</w:t>
            </w:r>
          </w:p>
        </w:tc>
        <w:tc>
          <w:tcPr>
            <w:tcW w:w="2310" w:type="dxa"/>
          </w:tcPr>
          <w:p>
            <w:pPr/>
            <w:r>
              <w:rPr>
                <w:lang w:val="zh-CN"/>
                <w:rFonts w:ascii="Times New Roman" w:hAnsi="Times New Roman" w:cs="Times New Roman"/>
                <w:sz w:val="20"/>
                <w:szCs w:val="20"/>
                <w:color w:val="000000"/>
              </w:rPr>
              <w:t>1580.00</w:t>
            </w:r>
          </w:p>
        </w:tc>
        <w:tc>
          <w:tcPr>
            <w:tcW w:w="2310" w:type="dxa"/>
          </w:tcPr>
          <w:p>
            <w:pPr/>
            <w:r>
              <w:rPr>
                <w:lang w:val="zh-CN"/>
                <w:rFonts w:ascii="Times New Roman" w:hAnsi="Times New Roman" w:cs="Times New Roman"/>
                <w:sz w:val="20"/>
                <w:szCs w:val="20"/>
                <w:color w:val="000000"/>
              </w:rPr>
              <w:t>9480.00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7</w:t>
            </w:r>
          </w:p>
        </w:tc>
        <w:tc>
          <w:tcPr>
            <w:tcW w:w="2310" w:type="dxa"/>
          </w:tcPr>
          <w:p>
            <w:pPr/>
            <w:r>
              <w:rPr>
                <w:lang w:val="zh-CN"/>
                <w:rFonts w:ascii="Times New Roman" w:hAnsi="Times New Roman" w:cs="Times New Roman"/>
                <w:sz w:val="20"/>
                <w:szCs w:val="20"/>
                <w:color w:val="000000"/>
              </w:rPr>
              <w:t>2780.00</w:t>
            </w:r>
          </w:p>
        </w:tc>
        <w:tc>
          <w:tcPr>
            <w:tcW w:w="2310" w:type="dxa"/>
          </w:tcPr>
          <w:p>
            <w:pPr/>
            <w:r>
              <w:rPr>
                <w:lang w:val="zh-CN"/>
                <w:rFonts w:ascii="Times New Roman" w:hAnsi="Times New Roman" w:cs="Times New Roman"/>
                <w:sz w:val="20"/>
                <w:szCs w:val="20"/>
                <w:color w:val="000000"/>
              </w:rPr>
              <w:t>19460.00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3</w:t>
            </w:r>
          </w:p>
        </w:tc>
        <w:tc>
          <w:tcPr>
            <w:tcW w:w="2310" w:type="dxa"/>
            <w:gridSpan w:val="2"/>
          </w:tcPr>
          <w:p>
            <w:pPr/>
            <w:r>
              <w:rPr>
                <w:lang w:val="zh-CN"/>
                <w:rFonts w:ascii="Times New Roman" w:hAnsi="Times New Roman" w:cs="Times New Roman"/>
                <w:sz w:val="20"/>
                <w:szCs w:val="20"/>
                <w:color w:val="000000"/>
              </w:rPr>
              <w:t>减会销定金</w:t>
            </w:r>
          </w:p>
        </w:tc>
        <w:tc>
          <w:tcPr>
            <w:tcW w:w="2310" w:type="dxa"/>
          </w:tcPr>
          <w:p>
            <w:pPr/>
            <w:r>
              <w:rPr>
                <w:lang w:val="zh-CN"/>
                <w:rFonts w:ascii="Times New Roman" w:hAnsi="Times New Roman" w:cs="Times New Roman"/>
                <w:sz w:val="20"/>
                <w:szCs w:val="20"/>
                <w:color w:val="000000"/>
              </w:rPr>
              <w:t>7</w:t>
            </w:r>
          </w:p>
        </w:tc>
        <w:tc>
          <w:tcPr>
            <w:tcW w:w="2310" w:type="dxa"/>
          </w:tcPr>
          <w:p>
            <w:pPr/>
            <w:r>
              <w:rPr>
                <w:lang w:val="zh-CN"/>
                <w:rFonts w:ascii="Times New Roman" w:hAnsi="Times New Roman" w:cs="Times New Roman"/>
                <w:sz w:val="20"/>
                <w:szCs w:val="20"/>
                <w:color w:val="000000"/>
              </w:rPr>
              <w:t>-200.00</w:t>
            </w:r>
          </w:p>
        </w:tc>
        <w:tc>
          <w:tcPr>
            <w:tcW w:w="2310" w:type="dxa"/>
          </w:tcPr>
          <w:p>
            <w:pPr/>
            <w:r>
              <w:rPr>
                <w:lang w:val="zh-CN"/>
                <w:rFonts w:ascii="Times New Roman" w:hAnsi="Times New Roman" w:cs="Times New Roman"/>
                <w:sz w:val="20"/>
                <w:szCs w:val="20"/>
                <w:color w:val="000000"/>
              </w:rPr>
              <w:t>-1400.00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总金额：贰万柒仟伍佰肆拾元整</w:t>
            </w:r>
          </w:p>
        </w:tc>
        <w:tc>
          <w:tcPr>
            <w:tcW w:w="2310" w:type="dxa"/>
            <w:textDirection w:val="right"/>
            <w:gridSpan w:val="3"/>
          </w:tcPr>
          <w:p>
            <w:pPr/>
            <w:r>
              <w:rPr>
                <w:lang w:val="zh-CN"/>
                <w:rFonts w:ascii="Times New Roman" w:hAnsi="Times New Roman" w:cs="Times New Roman"/>
                <w:b/>
                <w:color w:val="FF0000"/>
              </w:rPr>
              <w:t>27540.00</w:t>
            </w:r>
          </w:p>
        </w:tc>
      </w:tr>
      <w:tr>
        <w:tc>
          <w:tcPr>
            <w:tcW w:w="2310" w:type="dxa"/>
            <w:gridSpan w:val="8"/>
          </w:tcPr>
          <w:p>
            <w:pPr/>
            <w:r>
              <w:rPr>
                <w:lang w:val="zh-CN"/>
                <w:rFonts w:ascii="Times New Roman" w:hAnsi="Times New Roman" w:cs="Times New Roman"/>
                <w:sz w:val="20"/>
                <w:szCs w:val="20"/>
                <w:color w:val="000000"/>
              </w:rPr>
              <w:t>走啦系统，已上款（28940），走啦订单14人48900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昆明机场集合，乘飞机赴吐鲁番，后乘车前往新疆维吾尔自治区首府—乌鲁木齐，入住酒店。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乌鲁木齐-可可托海-富蕴县/福海(大巴)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国家5A级景区—【可可托海】，可可托海国家地质公园可可托海是中国第一个以典型矿床和矿山遗址为主体景观的国家地质公园。可可托海位于富蕴县，集峡谷河流、山石林地、地矿、寒级湖泊于阿尔泰山一隅，既具北方之雄奇，又显南方之婉约，有着独特的风景，绝美的意境。是国家AAAAA级风景区”，额尔齐斯大峡谷全长70公里，是可可托海风景区的主景区，一条峡谷给了可可托海瑰丽的风景。“可可托海”，哈萨克语的意思是“绿色的丛林”。蒙古语的意思是“蓝色的河湾”。</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早餐：含；午餐：含；晚餐：含；住宿：富蕴县/福海</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布尔津/福海-喀纳斯湖（月亮湾、神仙湾、卧龙湾）-贾登峪(大巴)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喀纳斯湖风景区】，喀纳斯的美在于它的湖水、群山、植物、空气、色彩和声音它是一个美的集大成者。如果需要了解她的全貌，则要静下心来细细品尝。当你踏进这片土地时，你会被深深吸引，深深迷醉，喀纳斯真是美得不要太美。这里有最静的夜和蕞亮的星星，蕞遥远的村庄有着蕞晶莹的心灵。也只有来到喀纳斯，才能理解“大美新疆”这四个字。喀纳斯是一个你一生中一定要去一次的地方，是你去过之后永远都不会后悔的地方，也是你将终身记忆并不断向人推荐的地方。那片触手可及的蓝天，和你离的那样亲近，只有在这里，你才可以体会这一生最美的心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早餐：含；午餐：含；晚餐：含；住宿：贾登峪/布尔津</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禾木村-布尔津/北屯(大巴)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神的后花园”—【禾木乡】，禾木村全称“禾木喀纳斯乡”，位于新疆北部布尔津县境内，与蒙古、俄罗斯、哈萨克斯坦三国接壤。禾木村，它曾被《中国国家地理》评为中国醉美的六大古镇古村之一、被誉为“神的后花园中的自留地”，素有“中国弟一村”的美称。抵达后乘坐区间车，自由活动。可登上禾木观景台，纵览整个禾木村。登高处，俯瞰时，天与地，山与村，处处结合为一幅幅美景，此处也因此被称为摄影师的天堂。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早餐：含；午餐：含；晚餐：含；住宿：布尔津/北屯/哈巴河</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布尔津-五彩滩-网红S21国道-乌鲁木齐/昌吉/呼图壁(大巴)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中国唯一注入北冰洋的河流——额尔齐斯河河畔的【五彩滩】，观赏日出。清澈舒缓的额尔齐斯河穿流过广袤的戈壁原野，千百年河水的冲刷和狂风的侵蚀，在河的北岸岩层形成了悬崖式的雅丹地貌。因岩层中含有的不同矿物质，使这里裸露的河滩五彩斑斓，这片神奇瑰丽的美丽之地，因故得名“五彩滩”。额尔齐斯河的北岸是天然而成的五彩滩涂,南岸是葱郁青翠的森林河谷，大自然的神奇造化,在这里绘就了一幅博大的“一河隔两岸、自有两重天”的梦幻画卷，有“天下第一滩”美誉，它集河流、森林、吊桥、夕阳及河心姐妹岛为一体。后浏览【海上魔鬼城】结束后沿S21沙漠公路前往五家渠。沿途可以欣赏到北疆的沙漠风光，戈壁、沙漠、古迹、盆地、湖泊，绿洲、湿地等，一路风景，美不胜收。抵达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乌鲁木齐/昌吉-天山天池-乌鲁木齐(大巴)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120分钟/店）新疆的和田玉是中国最著名的玉石，古代上至帝王将相，下至黎民百姓都热烈追捧，几千年来人们，崇玉、爱玉、赏玉、玩玉、藏玉，人们对玉怀着一种特殊的情感，无论放在哪里，都会散发出巨大的魅力。后乘车至【驼绒文化馆】了解当地的特产特色，后赴亚欧大陆腹地干旱区自然景观的代表景区【天山天池风景区】，天山天池古称“瑶池”，是以高山湖泊为主的自然风景区，是我国西北干旱地区典型的山岳型自然景观。天山天池湖面海拔1910米，南北长3.5公里，东西宽0.8～1.5公里，深103米，湖滨云杉环绕，雪峰倒映，云杉环拥，碧水似镜，风光如画，游览天山天池会让大家感受到没有感受过的震憾，也能感悟到志存高远而内涵丰富的人生哲理。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乌鲁木齐/昌吉-吐鲁番(大巴)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120分钟/店）新疆的和田玉是中国最著名的玉石，古代上至帝王将相，下至黎民百姓都热烈追捧，几千年来人们，崇玉、爱玉、赏玉、玩玉、藏玉，人们对玉怀着一种特殊的情感，无论放在哪里，都会散发出巨大的魅力。后乘车前往【库木塔格沙漠】无情多变的沙漠掩埋吞没了数不清的古代文明，唯独在鄯善县城脚下嘎然而止，停下了肆虐的脚步。往北看，远处是绿色的城市，向南看，眼前就是库木塔格沙漠高耸着的沙山。站在绿洲与大漠的结合处，眼前奇异的景致让人惊叹，一边是莽莽苍苍、雄浑博大、无边无际的大漠海洋；一边是郁郁葱葱、娟秀妩媚的绿洲碧野。这是大自然杰出的造化，这黄色与绿色之间没有任何过渡，两色却形成鲜明的对比。人与黄沙和谐共存，绿不退，沙不进的奇观，诠释着古楼兰国消失的最后一片绿地。吐鲁番游览吐鲁番的象征、素有“八百里火焰”之称的【火焰山】地处“丝绸之路”北道上。相传《西游记》中唐僧取经受阻于火焰山，孙悟空三借芭蕉扇的故事就发生在这里；使火焰山披上一层神秘的面纱，成了一座天下奇山，成了人们向往的游览胜地。后返回吐鲁番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2026/09/18</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极度干旱地区的生命血脉、中国古代三大文明工程的【坎儿井民俗园】（游览约30分钟）、人们无不为它设计构思的巧妙，工程的艰巨而赞叹。它也是我国各族人民智慧的结晶、勤劳的丰碑！后进入【农家小院】中，品尝时令水果，欣赏特色歌舞。后乘飞机返回昆明，结束愉快的新疆行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费用：指定酒店双人标间。我社不提供自然单间，如出现单男单女，由客人补单房差。新疆地区限速严重，行程中的住宿根据实际情况进行调整，不降低接待标准。2、用餐费用：全程含7早13正，正餐餐标40元/人/正(特色餐含烤全羊)，十人一桌，八菜一汤，不含酒水；人数增减时菜量相应增减；房费中所含早餐，若客人不用，费用不退；此团价格为打包优惠价所有正餐不吃不退3、用车费用：当地2+1旅游车，车型根据此团游客人数而定，保证每人每正座，若客人自行放弃当日行程，车费不予退还4、导游费用：当地普通话优秀导游服务。10人及以下不提供导游，司机兼向导，不做专业讲解，可办理相关事宜。）5、景点费用：实际游览景点（含景点首道大门票）：吐鲁番（坎儿井、火焰山）、天山天池（含门票+区间车）、喀纳斯（含门票+区间车）、五彩滩（含门票）、禾木（含门票+区间车）、可可托海（含门票+区间车）。提示：不含景区内其它自费项目及自费景点门票。报价已为旅行社团队的折扣价，故行程中已包含的景门票对所有证件（学生证、教师证、老年证、残疾证等证件）均不享受任何优惠政策，其优惠价格不予退（赠送/新增景点自愿放弃费用不退。）；6、费用说明：我社保留因不可抗拒因素（如天气、路况、航班原因等）对行程调整的权利，但行程内游览景点不减少，如因此不可抗拒因素造成客人滞留，或其他费用的增加，由客人自理、游客在旅游期间自动离团及不游景点，不用餐，旅行社不退任何费用7、儿童费用：11岁及以下儿童只含导服、车位、半餐费，不含门票、床位费，产生自理。8、进店说明及个人消费：全程2个玉石购物店+1个新疆驼绒特产（景区内小摊以及购物不算购物店），进店游览时间约120分钟，如需购物或参加另行付费的旅游项目，并和旅游者协商一致，同时在当地补签以上自愿去购物店和参加另行付费旅游项目的相关合同行程外的自费项目、酒店内洗衣、理发、电话、传真、收费电视、饮品、烟酒等个人消费产生的费用。备注：此团价格为打包优惠后的价格，任何门票优惠证件，所有费用不用不退，敬请谅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宜良周艳</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缪清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8</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2026/9/8 11:42:46</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