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个旧去哪儿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穿越南疆喀什之约双飞1卧8天（叶恒单团）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22(22大)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11号12号13号会销成本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-2730.00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-2730.00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总金额：捌万零肆佰叁拾元整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80430.00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2025/9/30 11:48:13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