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云航假期团队/散客确认书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烟台开心假期旅行社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范贝贝</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13053530002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山东云航国际旅行社有限公司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梁晓燕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YYN20250421-S02</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小时光 双飞3动8天 2.15起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2025-04-21 TV9961 成都→昆明 10:05-11:3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1、邵希文</w:t>
            </w:r>
          </w:p>
        </w:tc>
        <w:tc>
          <w:tcPr>
            <w:tcW w:w="2310" w:type="dxa"/>
            <w:vAlign w:val="center"/>
            <w:gridSpan w:val="2"/>
          </w:tcPr>
          <w:p>
            <w:pPr/>
            <w:r>
              <w:rPr>
                <w:lang w:val="zh-CN"/>
                <w:rFonts w:ascii="Times New Roman" w:hAnsi="Times New Roman" w:cs="Times New Roman"/>
                <w:sz w:val="20"/>
                <w:szCs w:val="20"/>
                <w:color w:val="000000"/>
              </w:rPr>
              <w:t>370212196511248516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2、马长青</w:t>
            </w:r>
          </w:p>
        </w:tc>
        <w:tc>
          <w:tcPr>
            <w:tcW w:w="2310" w:type="dxa"/>
            <w:vAlign w:val="center"/>
            <w:gridSpan w:val="2"/>
          </w:tcPr>
          <w:p>
            <w:pPr/>
            <w:r>
              <w:rPr>
                <w:lang w:val="zh-CN"/>
                <w:rFonts w:ascii="Times New Roman" w:hAnsi="Times New Roman" w:cs="Times New Roman"/>
                <w:sz w:val="20"/>
                <w:szCs w:val="20"/>
                <w:color w:val="000000"/>
              </w:rPr>
              <w:t>370202196906193529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3、王仁义</w:t>
            </w:r>
          </w:p>
        </w:tc>
        <w:tc>
          <w:tcPr>
            <w:tcW w:w="2310" w:type="dxa"/>
            <w:vAlign w:val="center"/>
            <w:gridSpan w:val="2"/>
          </w:tcPr>
          <w:p>
            <w:pPr/>
            <w:r>
              <w:rPr>
                <w:lang w:val="zh-CN"/>
                <w:rFonts w:ascii="Times New Roman" w:hAnsi="Times New Roman" w:cs="Times New Roman"/>
                <w:sz w:val="20"/>
                <w:szCs w:val="20"/>
                <w:color w:val="000000"/>
              </w:rPr>
              <w:t>370625195209050014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4、邵延英</w:t>
            </w:r>
          </w:p>
        </w:tc>
        <w:tc>
          <w:tcPr>
            <w:tcW w:w="2310" w:type="dxa"/>
            <w:vAlign w:val="center"/>
            <w:gridSpan w:val="2"/>
          </w:tcPr>
          <w:p>
            <w:pPr/>
            <w:r>
              <w:rPr>
                <w:lang w:val="zh-CN"/>
                <w:rFonts w:ascii="Times New Roman" w:hAnsi="Times New Roman" w:cs="Times New Roman"/>
                <w:sz w:val="20"/>
                <w:szCs w:val="20"/>
                <w:color w:val="000000"/>
              </w:rPr>
              <w:t>370625195212090041</w:t>
            </w:r>
          </w:p>
        </w:tc>
        <w:tc>
          <w:tcPr>
            <w:tcW w:w="2310" w:type="dxa"/>
            <w:vAlign w:val="center"/>
          </w:tcPr>
          <w:p>
            <w:pPr/>
            <w:r>
              <w:rPr>
                <w:lang w:val="zh-CN"/>
                <w:rFonts w:ascii="Times New Roman" w:hAnsi="Times New Roman" w:cs="Times New Roman"/>
                <w:sz w:val="20"/>
                <w:szCs w:val="20"/>
                <w:color w:val="000000"/>
              </w:rPr>
              <w:t>13583573038</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2800.00</w:t>
            </w:r>
          </w:p>
        </w:tc>
        <w:tc>
          <w:tcPr>
            <w:tcW w:w="2310" w:type="dxa"/>
          </w:tcPr>
          <w:p>
            <w:pPr/>
            <w:r>
              <w:rPr>
                <w:lang w:val="zh-CN"/>
                <w:rFonts w:ascii="Times New Roman" w:hAnsi="Times New Roman" w:cs="Times New Roman"/>
                <w:sz w:val="20"/>
                <w:szCs w:val="20"/>
                <w:color w:val="000000"/>
              </w:rPr>
              <w:t>11200.00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总金额：壹万壹仟贰佰元整</w:t>
            </w:r>
          </w:p>
        </w:tc>
        <w:tc>
          <w:tcPr>
            <w:tcW w:w="2310" w:type="dxa"/>
            <w:textDirection w:val="right"/>
            <w:gridSpan w:val="3"/>
          </w:tcPr>
          <w:p>
            <w:pPr/>
            <w:r>
              <w:rPr>
                <w:lang w:val="zh-CN"/>
                <w:rFonts w:ascii="Times New Roman" w:hAnsi="Times New Roman" w:cs="Times New Roman"/>
                <w:b/>
                <w:color w:val="FF0000"/>
              </w:rPr>
              <w:t>11200.00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中国银行青岛海尔路支行</w:t>
            </w:r>
          </w:p>
        </w:tc>
        <w:tc>
          <w:tcPr>
            <w:tcW w:w="2310" w:type="dxa"/>
            <w:gridSpan w:val="2"/>
          </w:tcPr>
          <w:p>
            <w:pPr/>
            <w:r>
              <w:rPr>
                <w:lang w:val="zh-CN"/>
                <w:rFonts w:ascii="Times New Roman" w:hAnsi="Times New Roman" w:cs="Times New Roman"/>
                <w:sz w:val="20"/>
                <w:szCs w:val="20"/>
                <w:color w:val="000000"/>
              </w:rPr>
              <w:t>山东云航国际旅行社有限公司</w:t>
            </w:r>
          </w:p>
        </w:tc>
        <w:tc>
          <w:tcPr>
            <w:tcW w:w="2310" w:type="dxa"/>
            <w:gridSpan w:val="3"/>
          </w:tcPr>
          <w:p>
            <w:pPr/>
            <w:r>
              <w:rPr>
                <w:lang w:val="zh-CN"/>
                <w:rFonts w:ascii="Times New Roman" w:hAnsi="Times New Roman" w:cs="Times New Roman"/>
                <w:sz w:val="20"/>
                <w:szCs w:val="20"/>
                <w:color w:val="000000"/>
              </w:rPr>
              <w:t>231208539493</w:t>
            </w:r>
          </w:p>
        </w:tc>
      </w:tr>
      <w:tr>
        <w:tc>
          <w:tcPr>
            <w:tcW w:w="2310" w:type="dxa"/>
            <w:gridSpan w:val="3"/>
          </w:tcPr>
          <w:p>
            <w:pPr/>
            <w:r>
              <w:rPr>
                <w:lang w:val="zh-CN"/>
                <w:rFonts w:ascii="Times New Roman" w:hAnsi="Times New Roman" w:cs="Times New Roman"/>
                <w:sz w:val="20"/>
                <w:szCs w:val="20"/>
                <w:color w:val="000000"/>
              </w:rPr>
              <w:t>招商银行青岛分行香港西路支行</w:t>
            </w:r>
          </w:p>
        </w:tc>
        <w:tc>
          <w:tcPr>
            <w:tcW w:w="2310" w:type="dxa"/>
            <w:gridSpan w:val="2"/>
          </w:tcPr>
          <w:p>
            <w:pPr/>
            <w:r>
              <w:rPr>
                <w:lang w:val="zh-CN"/>
                <w:rFonts w:ascii="Times New Roman" w:hAnsi="Times New Roman" w:cs="Times New Roman"/>
                <w:sz w:val="20"/>
                <w:szCs w:val="20"/>
                <w:color w:val="000000"/>
              </w:rPr>
              <w:t>孙卢军</w:t>
            </w:r>
          </w:p>
        </w:tc>
        <w:tc>
          <w:tcPr>
            <w:tcW w:w="2310" w:type="dxa"/>
            <w:gridSpan w:val="3"/>
          </w:tcPr>
          <w:p>
            <w:pPr/>
            <w:r>
              <w:rPr>
                <w:lang w:val="zh-CN"/>
                <w:rFonts w:ascii="Times New Roman" w:hAnsi="Times New Roman" w:cs="Times New Roman"/>
                <w:sz w:val="20"/>
                <w:szCs w:val="20"/>
                <w:color w:val="000000"/>
              </w:rPr>
              <w:t>6214 8553 2549 6848</w:t>
            </w:r>
          </w:p>
        </w:tc>
      </w:tr>
      <w:tr>
        <w:tc>
          <w:tcPr>
            <w:tcW w:w="2310" w:type="dxa"/>
            <w:gridSpan w:val="3"/>
          </w:tcPr>
          <w:p>
            <w:pPr/>
            <w:r>
              <w:rPr>
                <w:lang w:val="zh-CN"/>
                <w:rFonts w:ascii="Times New Roman" w:hAnsi="Times New Roman" w:cs="Times New Roman"/>
                <w:sz w:val="20"/>
                <w:szCs w:val="20"/>
                <w:color w:val="000000"/>
              </w:rPr>
              <w:t>建设银行青岛高科技工业园支行</w:t>
            </w:r>
          </w:p>
        </w:tc>
        <w:tc>
          <w:tcPr>
            <w:tcW w:w="2310" w:type="dxa"/>
            <w:gridSpan w:val="2"/>
          </w:tcPr>
          <w:p>
            <w:pPr/>
            <w:r>
              <w:rPr>
                <w:lang w:val="zh-CN"/>
                <w:rFonts w:ascii="Times New Roman" w:hAnsi="Times New Roman" w:cs="Times New Roman"/>
                <w:sz w:val="20"/>
                <w:szCs w:val="20"/>
                <w:color w:val="000000"/>
              </w:rPr>
              <w:t>孙卢军</w:t>
            </w:r>
          </w:p>
        </w:tc>
        <w:tc>
          <w:tcPr>
            <w:tcW w:w="2310" w:type="dxa"/>
            <w:gridSpan w:val="3"/>
          </w:tcPr>
          <w:p>
            <w:pPr/>
            <w:r>
              <w:rPr>
                <w:lang w:val="zh-CN"/>
                <w:rFonts w:ascii="Times New Roman" w:hAnsi="Times New Roman" w:cs="Times New Roman"/>
                <w:sz w:val="20"/>
                <w:szCs w:val="20"/>
                <w:color w:val="000000"/>
              </w:rPr>
              <w:t>6217 0023 9000 3054 225</w:t>
            </w:r>
          </w:p>
        </w:tc>
      </w:tr>
      <w:tr>
        <w:tc>
          <w:tcPr>
            <w:tcW w:w="2310" w:type="dxa"/>
            <w:gridSpan w:val="3"/>
          </w:tcPr>
          <w:p>
            <w:pPr/>
            <w:r>
              <w:rPr>
                <w:lang w:val="zh-CN"/>
                <w:rFonts w:ascii="Times New Roman" w:hAnsi="Times New Roman" w:cs="Times New Roman"/>
                <w:sz w:val="20"/>
                <w:szCs w:val="20"/>
                <w:color w:val="000000"/>
              </w:rPr>
              <w:t>交通银行</w:t>
            </w:r>
          </w:p>
        </w:tc>
        <w:tc>
          <w:tcPr>
            <w:tcW w:w="2310" w:type="dxa"/>
            <w:gridSpan w:val="2"/>
          </w:tcPr>
          <w:p>
            <w:pPr/>
            <w:r>
              <w:rPr>
                <w:lang w:val="zh-CN"/>
                <w:rFonts w:ascii="Times New Roman" w:hAnsi="Times New Roman" w:cs="Times New Roman"/>
                <w:sz w:val="20"/>
                <w:szCs w:val="20"/>
                <w:color w:val="000000"/>
              </w:rPr>
              <w:t>山东云航国际旅行社有限公司</w:t>
            </w:r>
          </w:p>
        </w:tc>
        <w:tc>
          <w:tcPr>
            <w:tcW w:w="2310" w:type="dxa"/>
            <w:gridSpan w:val="3"/>
          </w:tcPr>
          <w:p>
            <w:pPr/>
            <w:r>
              <w:rPr>
                <w:lang w:val="zh-CN"/>
                <w:rFonts w:ascii="Times New Roman" w:hAnsi="Times New Roman" w:cs="Times New Roman"/>
                <w:sz w:val="20"/>
                <w:szCs w:val="20"/>
                <w:color w:val="000000"/>
              </w:rPr>
              <w:t>372005530018000018332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2025/04/21</w:t>
            </w:r>
          </w:p>
        </w:tc>
        <w:tc>
          <w:tcPr>
            <w:tcW w:w="2310" w:type="dxa"/>
            <w:gridSpan w:val="7"/>
          </w:tcPr>
          <w:p>
            <w:pPr/>
            <w:r>
              <w:rPr>
                <w:lang w:val="zh-CN"/>
                <w:rFonts w:ascii="Times New Roman" w:hAnsi="Times New Roman" w:cs="Times New Roman"/>
                <w:b/>
                <w:color w:val="000000"/>
              </w:rPr>
              <w:t>全国各地→昆明长水机场→昆明酒店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国各地贵宾乘机飞往昆明，抵达后窝?NEW专业团队接机，由商务车接送入住酒店。入住后游客可自行游览昆明，品尝街头美食，每座老房子中都可能有“最滇味”的美食。昆明，一座等着你来发现、来探索的风情城市，昆明，欢迎您的到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2025/04/22</w:t>
            </w:r>
          </w:p>
        </w:tc>
        <w:tc>
          <w:tcPr>
            <w:tcW w:w="2310" w:type="dxa"/>
            <w:gridSpan w:val="7"/>
          </w:tcPr>
          <w:p>
            <w:pPr/>
            <w:r>
              <w:rPr>
                <w:lang w:val="zh-CN"/>
                <w:rFonts w:ascii="Times New Roman" w:hAnsi="Times New Roman" w:cs="Times New Roman"/>
                <w:b/>
                <w:color w:val="000000"/>
              </w:rPr>
              <w:t>昆明-石林风景区-BUS楚雄-长街宴-入住楚雄酒店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国家5A级景区【石林风景区】（赠送电瓶车），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中餐特别安排【宜良烤鸭】，云南省经典的地方传统名肴，肥瘦相宜，皮酥脆，内香嫩，光亮油润，色泽红艳，清香离骨，有着浓浓的滇式美食的风味。餐后乘车至【滇池海埂大坝】观美丽的“高原明珠”滇池，眺望有“睡美人”山之美称的西山。与远道而来的海鸥精灵互动。（特别说明：滇池海埂大坝每年限定11月1日-次年2月28日，其他日期因海鸥迁徙，均不作安排）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提示:在长街宴人数过多会影响到餐饮质量的情况下我社会临时调整餐饮，营养丰富的晚餐它将成为你最美好的旅行记忆)，与好客的彝族人民一同上演“同族欢庆”。之后跟随彝族人民来一场【祭火大典.篝火晚会】，让欢声笑语伴着您入眠。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2025/04/23</w:t>
            </w:r>
          </w:p>
        </w:tc>
        <w:tc>
          <w:tcPr>
            <w:tcW w:w="2310" w:type="dxa"/>
            <w:gridSpan w:val="7"/>
          </w:tcPr>
          <w:p>
            <w:pPr/>
            <w:r>
              <w:rPr>
                <w:lang w:val="zh-CN"/>
                <w:rFonts w:ascii="Times New Roman" w:hAnsi="Times New Roman" w:cs="Times New Roman"/>
                <w:b/>
                <w:color w:val="000000"/>
              </w:rPr>
              <w:t xml:space="preserve">楚雄—大理—喜洲古镇—转角楼—网红黄墙—24K下午茶—民族换装旅拍—S湾廊道骑行—独家大游船—入住大理酒店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至大理，浓郁的大理风情从白族民居开始，青瓦、白墙、木雕、照壁皆是白族经典建筑之典范，飞檐斗拱，精雕细刻，一砖一瓦，每一个雕刻，都是匠人用心之作。之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转角楼】转角楼是喜洲最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每组家庭赠6张电子照片)，在爆火的洱海亲水线，换上精致的云南民族服装，资深高级摄影师为您拍一组专属限定海景大片，让您朋友圈动态稳占C位。后在全网爆火的洱海绝美海岸线体验【梦幻海湾骑行】蓝天碧海，骑着单车享受海风吹拂，一路风光旖旎，看洱海波光粼粼，湖光山色尽收眼底，感受苍山洱海间的浪漫，文艺感十足。之后乘坐【独家大游船】大游船游洱海。在这艘游船上，每一层都准备了满满的惊喜：一层有轻奢水果糕点组合，给你补充能量；二层是民族舞，145座位让你舒适观演；三层是KTV包间，嗨翻全场；四层是露天平台，最佳拍照角度，无敌洱海美景！在这趟旅程中，你将会留下美好的回忆，与家人和朋友分享这个难忘的经历。之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2025/04/24</w:t>
            </w:r>
          </w:p>
        </w:tc>
        <w:tc>
          <w:tcPr>
            <w:tcW w:w="2310" w:type="dxa"/>
            <w:gridSpan w:val="7"/>
          </w:tcPr>
          <w:p>
            <w:pPr/>
            <w:r>
              <w:rPr>
                <w:lang w:val="zh-CN"/>
                <w:rFonts w:ascii="Times New Roman" w:hAnsi="Times New Roman" w:cs="Times New Roman"/>
                <w:b/>
                <w:color w:val="000000"/>
              </w:rPr>
              <w:t>大理古城—《丽江千古情》—《丽水金沙》或者第五天印象丽江—丽江古城—住丽江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午餐后，乘车前往丽江，特别安排大型歌舞表演【丽江千古情】用IMAX3D的大片视觉，重现《纳西创世纪》、《泸沽女儿国》、《马帮传奇》、《木府辉煌》、《玉龙第三国》等丽江长达千年的历史与传说，引领观众穿越雪山，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或者第五天《印象丽江》歌舞表演。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2025/04/25</w:t>
            </w:r>
          </w:p>
        </w:tc>
        <w:tc>
          <w:tcPr>
            <w:tcW w:w="2310" w:type="dxa"/>
            <w:gridSpan w:val="7"/>
          </w:tcPr>
          <w:p>
            <w:pPr/>
            <w:r>
              <w:rPr>
                <w:lang w:val="zh-CN"/>
                <w:rFonts w:ascii="Times New Roman" w:hAnsi="Times New Roman" w:cs="Times New Roman"/>
                <w:b/>
                <w:color w:val="000000"/>
              </w:rPr>
              <w:t>束河古镇—玉龙雪山大索道—蓝月谷—丽江动车返昆—住昆明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+170进山+140元丽江玉龙雪山索道费用+手续费20元，以便我们提前制卡。带来不便，请多配合）。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2025/04/26</w:t>
            </w:r>
          </w:p>
        </w:tc>
        <w:tc>
          <w:tcPr>
            <w:tcW w:w="2310" w:type="dxa"/>
            <w:gridSpan w:val="7"/>
          </w:tcPr>
          <w:p>
            <w:pPr/>
            <w:r>
              <w:rPr>
                <w:lang w:val="zh-CN"/>
                <w:rFonts w:ascii="Times New Roman" w:hAnsi="Times New Roman" w:cs="Times New Roman"/>
                <w:b/>
                <w:color w:val="000000"/>
              </w:rPr>
              <w:t>昆明→景洪→野象谷→版纳酒店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乘车前往动车站乘坐动车前往景洪（请出11点30以前抵达景洪的动车票），抵达后乘车前往国家4A级风景区【野象谷】（索道自理单程50元/人、往返70元/人），观看大象表演、与大象亲密接触，百鸟园、蝴蝶园，野象谷自然资源丰富，汇集了热带雨林、南亚热带常绿阔叶林及众多珍稀动植物种群等，是集生态旅游、科普科考教学、休闲度假为一体的综合性生态旅游景区；晚上可以自费参加篝火晚会或傣秀和六国盛宴领略傣族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2025/04/27</w:t>
            </w:r>
          </w:p>
        </w:tc>
        <w:tc>
          <w:tcPr>
            <w:tcW w:w="2310" w:type="dxa"/>
            <w:gridSpan w:val="7"/>
          </w:tcPr>
          <w:p>
            <w:pPr/>
            <w:r>
              <w:rPr>
                <w:lang w:val="zh-CN"/>
                <w:rFonts w:ascii="Times New Roman" w:hAnsi="Times New Roman" w:cs="Times New Roman"/>
                <w:b/>
                <w:color w:val="000000"/>
              </w:rPr>
              <w:t xml:space="preserve">景洪→傣族村寨→原始森林公园→动车赴昆明→入住昆明酒店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大堂集合出发前往参观【少数民族村寨】（参观时长2小时），了解傣家原始自然村寨，感受傣家纯朴的民族文化，体验民居、民俗；前往游览【西双版纳原始森林公园】（电瓶车60元/人自理），徒步体验热带沟谷雨林，观看野生动物表演、孔雀放飞、爱伲山寨抢亲；随后可以自费参加澜沧江快艇，一江连六国，风情尽享。人在艇上，艇在浪上，鱼跃在身旁，岸上热带雨林，藤缠雾绕，不乘快艇不知澜湄六国风光，湄公河快艇欢迎您！晚间前往动车站乘坐动车返回昆明，抵达后入住酒店。(请出19点30以后景洪发车的动车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2025/04/28</w:t>
            </w:r>
          </w:p>
        </w:tc>
        <w:tc>
          <w:tcPr>
            <w:tcW w:w="2310" w:type="dxa"/>
            <w:gridSpan w:val="7"/>
          </w:tcPr>
          <w:p>
            <w:pPr/>
            <w:r>
              <w:rPr>
                <w:lang w:val="zh-CN"/>
                <w:rFonts w:ascii="Times New Roman" w:hAnsi="Times New Roman" w:cs="Times New Roman"/>
                <w:b/>
                <w:color w:val="000000"/>
              </w:rPr>
              <w:t>集散中心—根据航班送机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早餐后，参观集散中心（回程航班12:00以前不做安排），之后根据返程时间送站。温馨提示：返程前请仔细整理好自己的行李物品及证件，请不要有所遗漏，核对自己的航班时间，避免增加您不必要的麻烦。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范贝贝</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梁晓燕</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2025/4/21 14:12:49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