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广州永利国际旅行社有限公司团队/散客确认件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广州珠江从城建设发展有限公司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耿小姐</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广州永利国际旅行社有限公司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叶碧桃</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13533999313</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CHY01CR251112A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1112从化一天游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2025-11-12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2025-11-12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48(48大)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48</w:t>
            </w:r>
          </w:p>
        </w:tc>
        <w:tc>
          <w:tcPr>
            <w:tcW w:w="2310" w:type="dxa"/>
          </w:tcPr>
          <w:p>
            <w:pPr/>
            <w:r>
              <w:rPr>
                <w:lang w:val="zh-CN"/>
                <w:rFonts w:ascii="Times New Roman" w:hAnsi="Times New Roman" w:cs="Times New Roman"/>
                <w:sz w:val="20"/>
                <w:szCs w:val="20"/>
                <w:color w:val="000000"/>
              </w:rPr>
              <w:t>70.00</w:t>
            </w:r>
          </w:p>
        </w:tc>
        <w:tc>
          <w:tcPr>
            <w:tcW w:w="2310" w:type="dxa"/>
          </w:tcPr>
          <w:p>
            <w:pPr/>
            <w:r>
              <w:rPr>
                <w:lang w:val="zh-CN"/>
                <w:rFonts w:ascii="Times New Roman" w:hAnsi="Times New Roman" w:cs="Times New Roman"/>
                <w:sz w:val="20"/>
                <w:szCs w:val="20"/>
                <w:color w:val="000000"/>
              </w:rPr>
              <w:t>3360.00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午餐</w:t>
            </w:r>
          </w:p>
        </w:tc>
        <w:tc>
          <w:tcPr>
            <w:tcW w:w="2310" w:type="dxa"/>
          </w:tcPr>
          <w:p>
            <w:pPr/>
            <w:r>
              <w:rPr>
                <w:lang w:val="zh-CN"/>
                <w:rFonts w:ascii="Times New Roman" w:hAnsi="Times New Roman" w:cs="Times New Roman"/>
                <w:sz w:val="20"/>
                <w:szCs w:val="20"/>
                <w:color w:val="000000"/>
              </w:rPr>
              <w:t>50</w:t>
            </w:r>
          </w:p>
        </w:tc>
        <w:tc>
          <w:tcPr>
            <w:tcW w:w="2310" w:type="dxa"/>
          </w:tcPr>
          <w:p>
            <w:pPr/>
            <w:r>
              <w:rPr>
                <w:lang w:val="zh-CN"/>
                <w:rFonts w:ascii="Times New Roman" w:hAnsi="Times New Roman" w:cs="Times New Roman"/>
                <w:sz w:val="20"/>
                <w:szCs w:val="20"/>
                <w:color w:val="000000"/>
              </w:rPr>
              <w:t>70.00</w:t>
            </w:r>
          </w:p>
        </w:tc>
        <w:tc>
          <w:tcPr>
            <w:tcW w:w="2310" w:type="dxa"/>
          </w:tcPr>
          <w:p>
            <w:pPr/>
            <w:r>
              <w:rPr>
                <w:lang w:val="zh-CN"/>
                <w:rFonts w:ascii="Times New Roman" w:hAnsi="Times New Roman" w:cs="Times New Roman"/>
                <w:sz w:val="20"/>
                <w:szCs w:val="20"/>
                <w:color w:val="000000"/>
              </w:rPr>
              <w:t>3500.00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代订蛋糕</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1146.00</w:t>
            </w:r>
          </w:p>
        </w:tc>
        <w:tc>
          <w:tcPr>
            <w:tcW w:w="2310" w:type="dxa"/>
          </w:tcPr>
          <w:p>
            <w:pPr/>
            <w:r>
              <w:rPr>
                <w:lang w:val="zh-CN"/>
                <w:rFonts w:ascii="Times New Roman" w:hAnsi="Times New Roman" w:cs="Times New Roman"/>
                <w:sz w:val="20"/>
                <w:szCs w:val="20"/>
                <w:color w:val="000000"/>
              </w:rPr>
              <w:t>1146.00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总金额：捌仟零陆元整</w:t>
            </w:r>
          </w:p>
        </w:tc>
        <w:tc>
          <w:tcPr>
            <w:tcW w:w="2310" w:type="dxa"/>
            <w:textDirection w:val="right"/>
            <w:gridSpan w:val="3"/>
          </w:tcPr>
          <w:p>
            <w:pPr/>
            <w:r>
              <w:rPr>
                <w:lang w:val="zh-CN"/>
                <w:rFonts w:ascii="Times New Roman" w:hAnsi="Times New Roman" w:cs="Times New Roman"/>
                <w:b/>
                <w:color w:val="FF0000"/>
              </w:rPr>
              <w:t>8006.00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招商银行广州东风支行</w:t>
            </w:r>
          </w:p>
        </w:tc>
        <w:tc>
          <w:tcPr>
            <w:tcW w:w="2310" w:type="dxa"/>
            <w:gridSpan w:val="2"/>
          </w:tcPr>
          <w:p>
            <w:pPr/>
            <w:r>
              <w:rPr>
                <w:lang w:val="zh-CN"/>
                <w:rFonts w:ascii="Times New Roman" w:hAnsi="Times New Roman" w:cs="Times New Roman"/>
                <w:sz w:val="20"/>
                <w:szCs w:val="20"/>
                <w:color w:val="000000"/>
              </w:rPr>
              <w:t>广州永利国际旅行社有限公司</w:t>
            </w:r>
          </w:p>
        </w:tc>
        <w:tc>
          <w:tcPr>
            <w:tcW w:w="2310" w:type="dxa"/>
            <w:gridSpan w:val="3"/>
          </w:tcPr>
          <w:p>
            <w:pPr/>
            <w:r>
              <w:rPr>
                <w:lang w:val="zh-CN"/>
                <w:rFonts w:ascii="Times New Roman" w:hAnsi="Times New Roman" w:cs="Times New Roman"/>
                <w:sz w:val="20"/>
                <w:szCs w:val="20"/>
                <w:color w:val="000000"/>
              </w:rPr>
              <w:t>120927730410001</w:t>
            </w:r>
          </w:p>
        </w:tc>
      </w:tr>
      <w:tr>
        <w:tc>
          <w:tcPr>
            <w:tcW w:w="2310" w:type="dxa"/>
            <w:gridSpan w:val="3"/>
          </w:tcPr>
          <w:p>
            <w:pPr/>
            <w:r>
              <w:rPr>
                <w:lang w:val="zh-CN"/>
                <w:rFonts w:ascii="Times New Roman" w:hAnsi="Times New Roman" w:cs="Times New Roman"/>
                <w:sz w:val="20"/>
                <w:szCs w:val="20"/>
                <w:color w:val="000000"/>
              </w:rPr>
              <w:t>永利商号</w:t>
            </w:r>
          </w:p>
        </w:tc>
        <w:tc>
          <w:tcPr>
            <w:tcW w:w="2310" w:type="dxa"/>
            <w:gridSpan w:val="2"/>
          </w:tcPr>
          <w:p>
            <w:pPr/>
            <w:r>
              <w:rPr>
                <w:lang w:val="zh-CN"/>
                <w:rFonts w:ascii="Times New Roman" w:hAnsi="Times New Roman" w:cs="Times New Roman"/>
                <w:sz w:val="20"/>
                <w:szCs w:val="20"/>
                <w:color w:val="000000"/>
              </w:rPr>
              <w:t>收款码-永利</w:t>
            </w:r>
          </w:p>
        </w:tc>
        <w:tc>
          <w:tcPr>
            <w:tcW w:w="2310" w:type="dxa"/>
            <w:gridSpan w:val="3"/>
          </w:tcPr>
          <w:p>
            <w:pPr/>
            <w:r>
              <w:rPr>
                <w:lang w:val="zh-CN"/>
                <w:rFonts w:ascii="Times New Roman" w:hAnsi="Times New Roman" w:cs="Times New Roman"/>
                <w:sz w:val="20"/>
                <w:szCs w:val="20"/>
                <w:color w:val="000000"/>
              </w:rPr>
              <w:t>0406</w:t>
            </w:r>
          </w:p>
        </w:tc>
      </w:tr>
      <w:tr>
        <w:tc>
          <w:tcPr>
            <w:tcW w:w="2310" w:type="dxa"/>
            <w:gridSpan w:val="3"/>
          </w:tcPr>
          <w:p>
            <w:pPr/>
            <w:r>
              <w:rPr>
                <w:lang w:val="zh-CN"/>
                <w:rFonts w:ascii="Times New Roman" w:hAnsi="Times New Roman" w:cs="Times New Roman"/>
                <w:sz w:val="20"/>
                <w:szCs w:val="20"/>
                <w:color w:val="000000"/>
              </w:rPr>
              <w:t>中国银行北京国际贸易中心支行营业部</w:t>
            </w:r>
          </w:p>
        </w:tc>
        <w:tc>
          <w:tcPr>
            <w:tcW w:w="2310" w:type="dxa"/>
            <w:gridSpan w:val="2"/>
          </w:tcPr>
          <w:p>
            <w:pPr/>
            <w:r>
              <w:rPr>
                <w:lang w:val="zh-CN"/>
                <w:rFonts w:ascii="Times New Roman" w:hAnsi="Times New Roman" w:cs="Times New Roman"/>
                <w:sz w:val="20"/>
                <w:szCs w:val="20"/>
                <w:color w:val="000000"/>
              </w:rPr>
              <w:t>私账-李俊生</w:t>
            </w:r>
          </w:p>
        </w:tc>
        <w:tc>
          <w:tcPr>
            <w:tcW w:w="2310" w:type="dxa"/>
            <w:gridSpan w:val="3"/>
          </w:tcPr>
          <w:p>
            <w:pPr/>
            <w:r>
              <w:rPr>
                <w:lang w:val="zh-CN"/>
                <w:rFonts w:ascii="Times New Roman" w:hAnsi="Times New Roman" w:cs="Times New Roman"/>
                <w:sz w:val="20"/>
                <w:szCs w:val="20"/>
                <w:color w:val="000000"/>
              </w:rPr>
              <w:t>6013820100003652214</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2025/11/12</w:t>
            </w:r>
          </w:p>
        </w:tc>
        <w:tc>
          <w:tcPr>
            <w:tcW w:w="2310" w:type="dxa"/>
            <w:gridSpan w:val="7"/>
          </w:tcPr>
          <w:p>
            <w:pPr/>
            <w:r>
              <w:rPr>
                <w:lang w:val="zh-CN"/>
                <w:rFonts w:ascii="Times New Roman" w:hAnsi="Times New Roman" w:cs="Times New Roman"/>
                <w:b/>
                <w:color w:val="000000"/>
              </w:rPr>
              <w:t>广州国家版本馆•午餐•彩虹桥驿站(汽车)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上指定时间集中，前往【广州国家版本馆】坐落于从化凤凰山麓、流溪河畔，以“中华典藏、岭南山水”为设计理念。融合中华与岭南特色，像五岭造型馆名石、书卷理念文沁桥等，尽显岭南风情。馆内设多个常设与专题展览。如“千秋写印华夏有章”展，借多媒体呈现中华版本发展历程，还有海上丝绸之路、改革开放成就等专题展。11:30前往农庄品尝午餐13：00前往【彩虹桥驿站】原为1994年建成、2012年停用的G105彩虹桥收费站，经珠江实业集团改造后成为旅游公路上的重要服务节点。驿站串联流溪湖与五指山景区，提供轻食餐饮、手打柠檬茶、环湖骑行及亲子互动等项目，是游客慢行赏景、休憩体验的理想场所。流溪河水库、绿道、高山（鸡枕山）、李子树、瀑布、村落，山水共长天一色，让人在山水之间感受“诗意栖居”的独特魅力。约16：00返回温馨的家园！</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早餐：自理；午餐：含；晚餐：自理；住宿：无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交通：按实际参团人数安排空调旅游巴士，每人1正座用餐：含1午餐（餐标50元/人，不用无费用退）导游：提供专业导游服务购物：全程不入购物点保险：国内30万保额个人旅游意外险</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一.注意事项：1.请游客准时到达出团集合地点，过时不候；2.游客在旅途中应时刻留意个人人身和财产安全，游客应妥善保管个人财物，尤其是贵重物品，请随身携带，旅行社对财物丢失不承担任何责任；3.如遇不可抗力因素（如交通阻塞、塌方、台风、地震、洪水、恶劣天气等原因），造成行程变更或取消行程，不视为旅行社违约，未能完成游览的景点我社只按旅行社协议门票价格退还，并参照按《广东省国内旅游组团合同》处理；4.离团说明：客人擅自、强行离团或不参加行程内的某项团队活动（含酒店、用餐、景点等），我社视客人自动放弃行程，发生此类情况一切后果请客人自行承担，客人离团期间的一切行为与旅行社无关；6.景点游览、住宿的先后顺序以旅行社安排为准，将严格执行行程标准承诺；我社按客人报名先后顺序排位，预先给客人编排好车位，请客人自觉礼让，听从导游安排；7.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8.18岁以下未成年人参团需监护人陪同或授权委托书；65岁以上老人参团需填写健康申明，70-75周岁（孕妇及超75周岁恕不接待）的老人须需填写健康申明、免责声明并有看护人陪同方可参团，否则不予接待，见谅！特别备注说明：若游客报名时故意隐瞒精神类疾病，且在旅游行程中突发疾病导致旅行社人员和其他游客财产损失和身体伤害的，由该游客及其监护人承担全部责任。 二.特别约定：1、客人在车内、室内、人多的地方必须配带口罩，在游览过程中不聚众，与前后游客保持安全的距离。2、旅行社强烈建议出行游客购买个人旅游意外保险。具体保险险种请在报名时向销售人员咨询并购买，出行时请将该保单资料随身携带。3、旅行社已经按照国家规定购买了旅行社责任保险。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耿小姐</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叶碧桃</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11</w:t>
                  </w:r>
                  <w:r w:rsidR="00192D3B">
                    <w:rPr>
                      <w:rFonts w:asciiTheme="minorEastAsia" w:hAnsiTheme="minorEastAsia" w:hint="eastAsia"/>
                    </w:rPr>
                    <w:t xml:space="preserve">月 </w:t>
                  </w:r>
                  <w:r>
                    <w:rPr>
                      <w:rFonts w:asciiTheme="minorEastAsia" w:hAnsiTheme="minorEastAsia" w:hint="eastAsia"/>
                    </w:rPr>
                    <w:t>18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2025/11/18 16:45:55</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