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航海梦团队/散客确认书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直客/其他/邓双龙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邓双龙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成都环球国际旅行社有限公司成华五分社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周莉娟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18602851501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GPH05BH250510B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母港/皇家/光谱号/5天4晚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9(9大)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3间阳台三人间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11903.00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35709.00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总金额：叁万伍仟柒佰零玖元整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35709.00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请将款项汇入我社指定账户并传汇款凭证，出团前须结清所有费用!(接待说明:关于收客如遇失信人员，请报名时务必坦诚告知，因隐瞒导致产生的所有损失均由旅客自行承担。）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若逾期未付，我社有权取消定位，因此产生的损失我社保有追究损失的权利！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温馨提示: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请仔细核对名单，我社以此确认操作，请将此确认盖章回传我社!出团前请付全款恕不赊欠，谢谢您的合作! 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邮轮到港及离港时间有可能受天气等因素影响，最终时间以邮轮实际行程为准！邮轮停靠港口若有调整属于邮轮公司管控，我社不承担任何责任，敬请谅解！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成都环球国际旅行社有限公司成华五分社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成都环球国际旅行社有限公司成华五分社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4402 2110 0910 0021 091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工商银行成都滨江大学路支行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钟巳萍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6212264402084373095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携程系统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成华五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港中旅系统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成华五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环球系统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成华五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同程系统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成华五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全球通系统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成华五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邓双龙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周莉娟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2025/4/28 23:46:14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