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湘西风情团队/散客确认书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华夏</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谭燕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刘卯松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18040312860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XYB05DC251011A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湘约双玻双动5日游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1、古丽君</w:t>
            </w:r>
          </w:p>
        </w:tc>
        <w:tc>
          <w:tcPr>
            <w:tcW w:w="2310" w:type="dxa"/>
            <w:vAlign w:val="center"/>
            <w:gridSpan w:val="2"/>
          </w:tcPr>
          <w:p>
            <w:pPr/>
            <w:r>
              <w:rPr>
                <w:lang w:val="zh-CN"/>
                <w:rFonts w:ascii="Times New Roman" w:hAnsi="Times New Roman" w:cs="Times New Roman"/>
                <w:sz w:val="20"/>
                <w:szCs w:val="20"/>
                <w:color w:val="000000"/>
              </w:rPr>
              <w:t>51112419651005002X</w:t>
            </w:r>
          </w:p>
        </w:tc>
        <w:tc>
          <w:tcPr>
            <w:tcW w:w="2310" w:type="dxa"/>
            <w:vAlign w:val="center"/>
          </w:tcPr>
          <w:p>
            <w:pPr/>
            <w:r>
              <w:rPr>
                <w:lang w:val="zh-CN"/>
                <w:rFonts w:ascii="Times New Roman" w:hAnsi="Times New Roman" w:cs="Times New Roman"/>
                <w:sz w:val="20"/>
                <w:szCs w:val="20"/>
                <w:color w:val="000000"/>
              </w:rPr>
              <w:t>18981359632</w:t>
            </w:r>
          </w:p>
        </w:tc>
        <w:tc>
          <w:tcPr>
            <w:tcW w:w="2310" w:type="dxa"/>
            <w:vAlign w:val="center"/>
          </w:tcPr>
          <w:p>
            <w:pPr/>
            <w:r>
              <w:rPr>
                <w:lang w:val="zh-CN"/>
                <w:rFonts w:ascii="Times New Roman" w:hAnsi="Times New Roman" w:cs="Times New Roman"/>
                <w:sz w:val="20"/>
                <w:szCs w:val="20"/>
                <w:color w:val="000000"/>
              </w:rPr>
              <w:t>2、周群</w:t>
            </w:r>
          </w:p>
        </w:tc>
        <w:tc>
          <w:tcPr>
            <w:tcW w:w="2310" w:type="dxa"/>
            <w:vAlign w:val="center"/>
            <w:gridSpan w:val="2"/>
          </w:tcPr>
          <w:p>
            <w:pPr/>
            <w:r>
              <w:rPr>
                <w:lang w:val="zh-CN"/>
                <w:rFonts w:ascii="Times New Roman" w:hAnsi="Times New Roman" w:cs="Times New Roman"/>
                <w:sz w:val="20"/>
                <w:szCs w:val="20"/>
                <w:color w:val="000000"/>
              </w:rPr>
              <w:t>511124196804082123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3、漆晓琴</w:t>
            </w:r>
          </w:p>
        </w:tc>
        <w:tc>
          <w:tcPr>
            <w:tcW w:w="2310" w:type="dxa"/>
            <w:vAlign w:val="center"/>
            <w:gridSpan w:val="2"/>
          </w:tcPr>
          <w:p>
            <w:pPr/>
            <w:r>
              <w:rPr>
                <w:lang w:val="zh-CN"/>
                <w:rFonts w:ascii="Times New Roman" w:hAnsi="Times New Roman" w:cs="Times New Roman"/>
                <w:sz w:val="20"/>
                <w:szCs w:val="20"/>
                <w:color w:val="000000"/>
              </w:rPr>
              <w:t>511124196702272647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4、胡丙容</w:t>
            </w:r>
          </w:p>
        </w:tc>
        <w:tc>
          <w:tcPr>
            <w:tcW w:w="2310" w:type="dxa"/>
            <w:vAlign w:val="center"/>
            <w:gridSpan w:val="2"/>
          </w:tcPr>
          <w:p>
            <w:pPr/>
            <w:r>
              <w:rPr>
                <w:lang w:val="zh-CN"/>
                <w:rFonts w:ascii="Times New Roman" w:hAnsi="Times New Roman" w:cs="Times New Roman"/>
                <w:sz w:val="20"/>
                <w:szCs w:val="20"/>
                <w:color w:val="000000"/>
              </w:rPr>
              <w:t>51012219660911224X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1250.00</w:t>
            </w:r>
          </w:p>
        </w:tc>
        <w:tc>
          <w:tcPr>
            <w:tcW w:w="2310" w:type="dxa"/>
          </w:tcPr>
          <w:p>
            <w:pPr/>
            <w:r>
              <w:rPr>
                <w:lang w:val="zh-CN"/>
                <w:rFonts w:ascii="Times New Roman" w:hAnsi="Times New Roman" w:cs="Times New Roman"/>
                <w:sz w:val="20"/>
                <w:szCs w:val="20"/>
                <w:color w:val="000000"/>
              </w:rPr>
              <w:t>5000.00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108.00</w:t>
            </w:r>
          </w:p>
        </w:tc>
        <w:tc>
          <w:tcPr>
            <w:tcW w:w="2310" w:type="dxa"/>
          </w:tcPr>
          <w:p>
            <w:pPr/>
            <w:r>
              <w:rPr>
                <w:lang w:val="zh-CN"/>
                <w:rFonts w:ascii="Times New Roman" w:hAnsi="Times New Roman" w:cs="Times New Roman"/>
                <w:sz w:val="20"/>
                <w:szCs w:val="20"/>
                <w:color w:val="000000"/>
              </w:rPr>
              <w:t>324.00</w:t>
            </w:r>
          </w:p>
        </w:tc>
        <w:tc>
          <w:tcPr>
            <w:tcW w:w="2310" w:type="dxa"/>
            <w:gridSpan w:val="2"/>
          </w:tcPr>
          <w:p>
            <w:pPr/>
            <w:r>
              <w:rPr>
                <w:lang w:val="zh-CN"/>
                <w:rFonts w:ascii="Times New Roman" w:hAnsi="Times New Roman" w:cs="Times New Roman"/>
                <w:sz w:val="20"/>
                <w:szCs w:val="20"/>
                <w:color w:val="000000"/>
              </w:rPr>
              <w:t>代出3人乐山-成都东往返动车票</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总金额：伍仟叁佰贰拾肆元整</w:t>
            </w:r>
          </w:p>
        </w:tc>
        <w:tc>
          <w:tcPr>
            <w:tcW w:w="2310" w:type="dxa"/>
            <w:textDirection w:val="right"/>
            <w:gridSpan w:val="3"/>
          </w:tcPr>
          <w:p>
            <w:pPr/>
            <w:r>
              <w:rPr>
                <w:lang w:val="zh-CN"/>
                <w:rFonts w:ascii="Times New Roman" w:hAnsi="Times New Roman" w:cs="Times New Roman"/>
                <w:b/>
                <w:color w:val="FF0000"/>
              </w:rPr>
              <w:t>5324.00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中国银行股份有限公司成都航空路支行</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gridSpan w:val="3"/>
          </w:tcPr>
          <w:p>
            <w:pPr/>
            <w:r>
              <w:rPr>
                <w:lang w:val="zh-CN"/>
                <w:rFonts w:ascii="Times New Roman" w:hAnsi="Times New Roman" w:cs="Times New Roman"/>
                <w:sz w:val="20"/>
                <w:szCs w:val="20"/>
                <w:color w:val="000000"/>
              </w:rPr>
              <w:t>118585022685</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成都/遂宁/重庆→恩施土家女儿城→凤凰古城 (动车)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遂宁/重庆北火车站出发，乘坐08:00-10:00出发的乘动车至恩施）3078次或D2238（09:17-13:50）次动车。导游司机至恩施接团，后出发游览【土家女儿城】土家女儿城位于湖北省恩施市区七里坪，作为全国第八个人造古镇，土家女儿城合理且精心的谋划了整体建筑风格，仿古与土家吊脚楼相结合，完美的体现了土家族的民风民俗。恩施出发约4-5小时左右（320公里左右）至凤凰，兴致、体力都够高的朋友不妨马上出来一睹古城的风貌，如：游沙湾吊脚楼群、虹桥、万名塔、跳岩……华灯初上，漫步沱江，古城夜景一览无遗，可在沱江跳岩边放河灯许愿，看着那一盏盏的小灯顺流而下，一切烦恼都随之而去……（当日中餐、晚餐可在恩施女儿城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早餐：不含；午餐：不含；晚餐：不含；住宿：无</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凤凰古城→张家界大峡谷(汽车)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行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  出发约2小时左右至张家界，游览【张家界大峡谷】(门票+游船已赠送，如需上玻璃桥则上桥费用和电梯等其他费用自理)又名乱泉峡：是指峡谷中的两面石壁，溪泉众多，满峡飞流。峡谷内的主要景点有：一线天天梯栈道、三叠游道、平台吴王坡、石壁裂、张家界大峡谷缝、全家福、妇唱夫随、千年古藤、石上森林、慈航普渡、天仙水瀑布、曲径幽林闯王亭、张家界大峡谷南方红旗渠、天河观景台、翠潭揽瀑、一路平安桥、隔音石、竹仙泉、仙人洗面、蝴蝶泉瀑布、怪谜洞、佛手遮天、烂船岩、张家界大峡谷土匪洞等景点。关于张家界大峡谷，土家人世代还流传着了这么一个故事。很久很久以前，龙王的小女儿偷偷地从龙宫溜出来玩耍，无意间来到这里，只见这里花香扑鼻，蜂飞蝶舞，流水淙淙……一下就被峡谷中的美景奇境深深吸引住了，竟产生了不想再回龙宫的想法，于是在这里潜心修道，最后修成正果，得道成仙。小龙女成仙之后，土家人来到这里，就着这条小溪世代繁衍至今。人们为了纪念小龙女的恩赐，就给大峡谷取了一个令人心动的名字——龙女河。●晚餐特别升级：品尝“百丈峡插旗寨--娃娃鱼特色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早餐：含；午餐：含；晚餐：含；住宿：张家界</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森林公园（天子山/袁家界/杨家界/金鞭溪）→魅力湘西晚会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至第一个国家森林公园核心景区【张家界森林公园】AAAAA张家界国家森林公园乘天子山环保车，前往游览峰林奇观【天子山景区】,天子山被誉为峰林之王，千座山峰兀立云雾中、风光旖旎、景色秀美，游览天子阁、西海石林、御笔峰、仙女献花、贺龙公园、石船出海、采药老人、贺龙铜像等景点；后走进张家界北纬30°地理新发现【杨家界风景区】观看峰墙之绝，峰丛之秀，峰林之奇。中餐后，游览【袁家界风景区】（游览时间约1.5小时）：袁家界风景以雄、奇、险、峻著称，在十多华里的环山游道上，沿途景色美不胜数，其中可观赏到：电影《阿凡达》中“哈利路亚山”原型“乾坤柱”、迄今为止发现落差最高的天然石桥—天下第一桥(桥墩绝对高度354米)、九天玄梯、八卦图、猿人望月、拜仙台、迷魂台等景点；（百龙电梯下山72元/人已含）后漫步大氧广场，广场上绿树成荫、空气新鲜、生机勃勃，这里是全国负氧离子最高的地方，许多人来到这里的第一件事就是深呼吸，感受大自然的味道，令人心旷神怡、神清气爽；世界最美的【金鞭溪大峡谷】。十里长溪，山回路转，一步一景，十步一重天，小溪潺潺的流经你的脚下，似琵琶，似古筝，时而丁冬悦耳，时而涓涓小吟。晚餐后安排入住酒店。晩上观看：世界民俗艺术演艺奇迹，湖南旅游文化名片，冯小刚刘欢捞仔联手升级打造的中国首部原生态民俗演艺，中央星光大道合作伙伴，世界唯一的千年神秘文化大戏----【魅力湘西】普票已含如需VIP座请自理差价，观赏时间不低于90分钟左右。●晚餐特别升级：品尝“土家三下锅”。温馨提示：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为避免严重排队我们选择错峰上下山，百龙电梯、杨家界索道，根据实际情况安排。2、穿着类---张家界以山为主，为方便在山区游览，请穿平跟鞋，建议不穿裙子，自带雨具、太阳帽等物品。3、安全类---景区内群猴众多，请不要近距离接近猴群，更不要去触摸山上的野生动物，以免发生伤害事件。早晚温差很大，请根据当天的天气预报随身携带厚衣服，以便随时添加。在景区内请不要随意攀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早餐：含；午餐：含；晚餐：含；住宿：张家界 </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特产超市→天门山→玻璃栈道→72奇楼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土特产超市】（车停靠约120分钟），品味湘西特色土特产，给亲朋好友带回一份湘西的礼物。赴张家界新传奇【天门山国家森林公园】（含天门山景区首道大门票）】“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晚上网红打卡地【七十二奇楼】（外观，如需进楼体验费用为40元/人）七十二奇楼位于武陵山大道入口，总占地面积130亩。与千米之外的天门洞形成“双洞互视”，并联合中国古建专家采用拆旧还旧、修古复古的手法，将十八栋原汁原味的湘西吊脚楼悬挂在门洞两侧，生动重现湘西“九弓十八寨七十二奇楼”的神秘传说。走进景区，吃喝玩乐购住应有尽有。在这里，游客将得到72种不同的新奇体验。●晚餐可自行在72奇楼体验当地小吃，费用自理。温馨提示：因天门山景区是张家界最火爆的旅游景区，每天有售票额度限制，都需提前实名预约门票及游览时间段，景区为分流人群，游览线路分为：1、双程索道A、B、C三条线路，A线票（天门山索道上-快线过道下）B线票（快线索道上-天门山索道下）C线票（快线索道上-快线索道下）ABC线价格同等2、单程索道1线、2线，1线票（天门山索道上-环保车下）2线票（环保车上-天门山索道下）。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早餐：含；午餐：含；晚餐：不含；住宿：张家界</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土司王府→恩施→重庆/遂宁/成都(动车)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土司王府】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出发约4小时左右（260公里左右）至恩施乘动车D2237次（16:06-20:46）或D637或D361次返回成都东结束此次愉快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首道大门票【张家界国家森林公园（袁家界/天子山/金鞭溪）+张家界大峡谷门票/船票+天门山玻璃栈道】赠送：魅力湘西晚会+土家女儿城+森林公园景区环保车+张家界土司城+百龙电梯单程+凤凰古城含接驳车；不含九景）行程所列景点首道门票及景交为旅行社打包协议价无任何优免退费；住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行程含四晚舒适型酒店或同等特色客栈保证充分的睡眠（双人标间；不含单房差如需产生单房差现补全程360元/人由客人补给导游）用餐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4早5正餐，正餐30元/餐/人，升级个特色餐：土家三下锅+湘西苗王宴+百丈峡插旗寨--娃娃鱼特色餐（10人一桌8菜1汤；不足10人，保证一人一个菜）正餐不用不退费亦不作等价交换！酒店房费含早餐，无床位者无早餐【本社采取签单式，杜绝克扣餐标】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空调旅游车，保证一人一正座，接送站为普通车（专业接送站/机工作人员）导服</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全程持证导游服务，接送站工作人员安排大交通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成都东至恩施往返动车二等座（座位随机）保险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旅行社责任险、景区意外险儿童价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年龄6岁以下孩童仅含当地（导服+车位+正餐半餐）（不含门票、床位、早餐、始发地往返的动车票）因超身高1.2米以上按实际产生现补给导游优惠退费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此线路门票优惠退费政策：此产品为超级特价打包产品，因涉及各方面特定费用因素，故任何人群无优惠无退费，接受此行程视为接受此约定。行程安排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不减少景点情况下导游可以灵活调整行程游览顺序中途离团需要按实际产生费用补齐成本参考酒店张家界区域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百仗峡/唯一风尚/双煦悦居/西子堂/盘龙山庄/山涧堂/望山雅居/悦山水/峰源山水/悦心途或同级；凤凰区域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卓睿/浩瀚聚贤庄/东临迎辉/泊林水畔/鸿鑫雅居/静轩酒店/古月/虹人文/诺亚或同级；以上不指定酒店，随酒店有房安排</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必须消费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无景区小交通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72奇楼体验费40元/人大峡谷/玻璃桥上桥费128元/人寻宝电梯35元/人（自愿选择）；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醒】1、部分游客会出现短暂等待现象，请客人积极与导游保持联系，务必保持手机通畅，开心旅游。2、交通类---进入景区以后，景点与景点之间全是用景区内的免费的环保车提供服务，并非一个团一个专车，而且一个团有可能不能坐同一辆环保车前往下一下景点，景区游人众多，请一定要在导游指定的地点汇合，不要走散，更不要将随身所带物品遗失在环保车上。3、穿着类--张家界以山为主，为方便在山区游览，请穿平跟鞋，建议不穿裙子自带雨具太阳帽等物品。4、安全类-景区内群猴众多，请不要近距离接近猴群，更不要去触摸山上的野生动物以免发生伤害事件。5、核心景区如遇高峰期，环保车电梯等会出现大面积排队情况，请配合导游的安排，尽量错开高峰期。6、如遇大雪或结冰等不可抗力因素，景区玻璃栈道封路，无法正常游览我社不予承担责任。7、凤凰因交通管制，旅游车辆有时只能在指定位置停车，需步行入住酒店。8、2016年4月10日开始，凤凰古城取消围城强制购票，客人可在古城自由参观，如遇政府临时性政策，强制征收进入凤凰古城门票，客人须补买门票148元/人费用自理。09、凤凰古城为敞开式民用商业区，特色商品导游义务介绍，旅游者购物行为为自主选择，旅行社不接受凤凰区域旅游者购物方面的投诉。10、返程请检查好个人物品，不要遗漏酒店。11、湘西为山区，酒店空调和热水定时开放，具体时间视气候和景区水库供水时间所定，请特别注意。12、散拼团有一定的特殊性，由于客人来的交通不一样，如遇航班、火车晚点，短时间的等待属于正常情况，由于客人原因造成未能赶到正常发班时间的，产生额外费用，客人自行承担。13、退费：此产品为打包报价，所有景点门票项目如客人不看不用，概不退费。任何人群均无任何优惠。14、中途均不允许客人以任何借口离团，若中途客人离团视同游客违约，用餐、房、车、机票等一切费用不退，旅行社亦不承担游客离团时发生意外的所有责任。15、请客人务必真实的填写导游质量服务跟踪恕不手里因虚假填写或不填写意见单而产生的后续争议和投诉，如在行程中对我们的服务及接待标准有异议，请在当地拨打质量监督电话在当地解决，如当地解决不了可在当地备案，否则我社不予受理，多谢合作与支持16、儿童、70岁以上游客必须有全程监护人陪同旅游，有不适病史需提前通报，自身病例或自己造成的人身意外游客本人负责，旅游途中请游客注意自己的人身和财产安全。17、因本社接待能力有限，恕无法接待年满80岁以上老人及孕妇。18、在湘西偏远地区，多数旅游景点山多岔路多，出行时不要随便单独外出，外出时应与导游咨询19、后再行动；着装以轻便为宜，近期天气变化无常，时有阵雨，须随时携带雨具；此行程坐车时间较长，且有些地区路况较差，常晕车者最好备相关药品;张家界、多数景点为特级禁烟区，抽烟前应询问导游及景区工作人员是否可以抽;不要随便在小摊上买东西，如不需要不要随便询价不要随便乱摸容易打碎的工艺品。20、如天气、堵车、排队原因等不可抗拒因素，地接导游在不影响行程的情况下有权调整行程内所含景点的游览先后顺序！21、请组团社将以上特别说明作为行程的合同附件给旅游者！因为这是该行程的重要说明！并请旅游者签字认可。22、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23、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谭燕</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刘卯松</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7:43:35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