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湘西风情团队/散客确认书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省青李霞</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李霞</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18908178407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向爱春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18040322860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ZZB05DC260308B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【2车】精典天门山双动5天 26年3.8活动班</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14(14大)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返程 2026-03-12 D2237 恩施→成都东 16:04-20:4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1、郑碧辉</w:t>
            </w:r>
          </w:p>
        </w:tc>
        <w:tc>
          <w:tcPr>
            <w:tcW w:w="2310" w:type="dxa"/>
            <w:vAlign w:val="center"/>
            <w:gridSpan w:val="2"/>
          </w:tcPr>
          <w:p>
            <w:pPr/>
            <w:r>
              <w:rPr>
                <w:lang w:val="zh-CN"/>
                <w:rFonts w:ascii="Times New Roman" w:hAnsi="Times New Roman" w:cs="Times New Roman"/>
                <w:sz w:val="20"/>
                <w:szCs w:val="20"/>
                <w:color w:val="000000"/>
              </w:rPr>
              <w:t>510122194905304925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2、黄文玉</w:t>
            </w:r>
          </w:p>
        </w:tc>
        <w:tc>
          <w:tcPr>
            <w:tcW w:w="2310" w:type="dxa"/>
            <w:vAlign w:val="center"/>
            <w:gridSpan w:val="2"/>
          </w:tcPr>
          <w:p>
            <w:pPr/>
            <w:r>
              <w:rPr>
                <w:lang w:val="zh-CN"/>
                <w:rFonts w:ascii="Times New Roman" w:hAnsi="Times New Roman" w:cs="Times New Roman"/>
                <w:sz w:val="20"/>
                <w:szCs w:val="20"/>
                <w:color w:val="000000"/>
              </w:rPr>
              <w:t>510122195006044933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3、张素青</w:t>
            </w:r>
          </w:p>
        </w:tc>
        <w:tc>
          <w:tcPr>
            <w:tcW w:w="2310" w:type="dxa"/>
            <w:vAlign w:val="center"/>
            <w:gridSpan w:val="2"/>
          </w:tcPr>
          <w:p>
            <w:pPr/>
            <w:r>
              <w:rPr>
                <w:lang w:val="zh-CN"/>
                <w:rFonts w:ascii="Times New Roman" w:hAnsi="Times New Roman" w:cs="Times New Roman"/>
                <w:sz w:val="20"/>
                <w:szCs w:val="20"/>
                <w:color w:val="000000"/>
              </w:rPr>
              <w:t>510122196803114943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4、黄贵明</w:t>
            </w:r>
          </w:p>
        </w:tc>
        <w:tc>
          <w:tcPr>
            <w:tcW w:w="2310" w:type="dxa"/>
            <w:vAlign w:val="center"/>
            <w:gridSpan w:val="2"/>
          </w:tcPr>
          <w:p>
            <w:pPr/>
            <w:r>
              <w:rPr>
                <w:lang w:val="zh-CN"/>
                <w:rFonts w:ascii="Times New Roman" w:hAnsi="Times New Roman" w:cs="Times New Roman"/>
                <w:sz w:val="20"/>
                <w:szCs w:val="20"/>
                <w:color w:val="000000"/>
              </w:rPr>
              <w:t>510122196507254917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5、郑晓群</w:t>
            </w:r>
          </w:p>
        </w:tc>
        <w:tc>
          <w:tcPr>
            <w:tcW w:w="2310" w:type="dxa"/>
            <w:vAlign w:val="center"/>
            <w:gridSpan w:val="2"/>
          </w:tcPr>
          <w:p>
            <w:pPr/>
            <w:r>
              <w:rPr>
                <w:lang w:val="zh-CN"/>
                <w:rFonts w:ascii="Times New Roman" w:hAnsi="Times New Roman" w:cs="Times New Roman"/>
                <w:sz w:val="20"/>
                <w:szCs w:val="20"/>
                <w:color w:val="000000"/>
              </w:rPr>
              <w:t>510123196302033420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6、李琼华</w:t>
            </w:r>
          </w:p>
        </w:tc>
        <w:tc>
          <w:tcPr>
            <w:tcW w:w="2310" w:type="dxa"/>
            <w:vAlign w:val="center"/>
            <w:gridSpan w:val="2"/>
          </w:tcPr>
          <w:p>
            <w:pPr/>
            <w:r>
              <w:rPr>
                <w:lang w:val="zh-CN"/>
                <w:rFonts w:ascii="Times New Roman" w:hAnsi="Times New Roman" w:cs="Times New Roman"/>
                <w:sz w:val="20"/>
                <w:szCs w:val="20"/>
                <w:color w:val="000000"/>
              </w:rPr>
              <w:t>510122196601245224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7、李芳玉</w:t>
            </w:r>
          </w:p>
        </w:tc>
        <w:tc>
          <w:tcPr>
            <w:tcW w:w="2310" w:type="dxa"/>
            <w:vAlign w:val="center"/>
            <w:gridSpan w:val="2"/>
          </w:tcPr>
          <w:p>
            <w:pPr/>
            <w:r>
              <w:rPr>
                <w:lang w:val="zh-CN"/>
                <w:rFonts w:ascii="Times New Roman" w:hAnsi="Times New Roman" w:cs="Times New Roman"/>
                <w:sz w:val="20"/>
                <w:szCs w:val="20"/>
                <w:color w:val="000000"/>
              </w:rPr>
              <w:t>510122196308074921</w:t>
            </w:r>
          </w:p>
        </w:tc>
        <w:tc>
          <w:tcPr>
            <w:tcW w:w="2310" w:type="dxa"/>
            <w:vAlign w:val="center"/>
          </w:tcPr>
          <w:p>
            <w:pPr/>
            <w:r>
              <w:rPr>
                <w:lang w:val="zh-CN"/>
                <w:rFonts w:ascii="Times New Roman" w:hAnsi="Times New Roman" w:cs="Times New Roman"/>
                <w:sz w:val="20"/>
                <w:szCs w:val="20"/>
                <w:color w:val="000000"/>
              </w:rPr>
              <w:t>13402828016</w:t>
            </w:r>
          </w:p>
        </w:tc>
        <w:tc>
          <w:tcPr>
            <w:tcW w:w="2310" w:type="dxa"/>
            <w:vAlign w:val="center"/>
          </w:tcPr>
          <w:p>
            <w:pPr/>
            <w:r>
              <w:rPr>
                <w:lang w:val="zh-CN"/>
                <w:rFonts w:ascii="Times New Roman" w:hAnsi="Times New Roman" w:cs="Times New Roman"/>
                <w:sz w:val="20"/>
                <w:szCs w:val="20"/>
                <w:color w:val="000000"/>
              </w:rPr>
              <w:t>8、文敏</w:t>
            </w:r>
          </w:p>
        </w:tc>
        <w:tc>
          <w:tcPr>
            <w:tcW w:w="2310" w:type="dxa"/>
            <w:vAlign w:val="center"/>
            <w:gridSpan w:val="2"/>
          </w:tcPr>
          <w:p>
            <w:pPr/>
            <w:r>
              <w:rPr>
                <w:lang w:val="zh-CN"/>
                <w:rFonts w:ascii="Times New Roman" w:hAnsi="Times New Roman" w:cs="Times New Roman"/>
                <w:sz w:val="20"/>
                <w:szCs w:val="20"/>
                <w:color w:val="000000"/>
              </w:rPr>
              <w:t>510122197302032426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9、查清华</w:t>
            </w:r>
          </w:p>
        </w:tc>
        <w:tc>
          <w:tcPr>
            <w:tcW w:w="2310" w:type="dxa"/>
            <w:vAlign w:val="center"/>
            <w:gridSpan w:val="2"/>
          </w:tcPr>
          <w:p>
            <w:pPr/>
            <w:r>
              <w:rPr>
                <w:lang w:val="zh-CN"/>
                <w:rFonts w:ascii="Times New Roman" w:hAnsi="Times New Roman" w:cs="Times New Roman"/>
                <w:sz w:val="20"/>
                <w:szCs w:val="20"/>
                <w:color w:val="000000"/>
              </w:rPr>
              <w:t>510122196404204968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10、杜雨</w:t>
            </w:r>
          </w:p>
        </w:tc>
        <w:tc>
          <w:tcPr>
            <w:tcW w:w="2310" w:type="dxa"/>
            <w:vAlign w:val="center"/>
            <w:gridSpan w:val="2"/>
          </w:tcPr>
          <w:p>
            <w:pPr/>
            <w:r>
              <w:rPr>
                <w:lang w:val="zh-CN"/>
                <w:rFonts w:ascii="Times New Roman" w:hAnsi="Times New Roman" w:cs="Times New Roman"/>
                <w:sz w:val="20"/>
                <w:szCs w:val="20"/>
                <w:color w:val="000000"/>
              </w:rPr>
              <w:t>51012219550512492X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11、王玉芳</w:t>
            </w:r>
          </w:p>
        </w:tc>
        <w:tc>
          <w:tcPr>
            <w:tcW w:w="2310" w:type="dxa"/>
            <w:vAlign w:val="center"/>
            <w:gridSpan w:val="2"/>
          </w:tcPr>
          <w:p>
            <w:pPr/>
            <w:r>
              <w:rPr>
                <w:lang w:val="zh-CN"/>
                <w:rFonts w:ascii="Times New Roman" w:hAnsi="Times New Roman" w:cs="Times New Roman"/>
                <w:sz w:val="20"/>
                <w:szCs w:val="20"/>
                <w:color w:val="000000"/>
              </w:rPr>
              <w:t>510122196305014763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12、康和莲</w:t>
            </w:r>
          </w:p>
        </w:tc>
        <w:tc>
          <w:tcPr>
            <w:tcW w:w="2310" w:type="dxa"/>
            <w:vAlign w:val="center"/>
            <w:gridSpan w:val="2"/>
          </w:tcPr>
          <w:p>
            <w:pPr/>
            <w:r>
              <w:rPr>
                <w:lang w:val="zh-CN"/>
                <w:rFonts w:ascii="Times New Roman" w:hAnsi="Times New Roman" w:cs="Times New Roman"/>
                <w:sz w:val="20"/>
                <w:szCs w:val="20"/>
                <w:color w:val="000000"/>
              </w:rPr>
              <w:t>510122195510114929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13、王晓云</w:t>
            </w:r>
          </w:p>
        </w:tc>
        <w:tc>
          <w:tcPr>
            <w:tcW w:w="2310" w:type="dxa"/>
            <w:vAlign w:val="center"/>
            <w:gridSpan w:val="2"/>
          </w:tcPr>
          <w:p>
            <w:pPr/>
            <w:r>
              <w:rPr>
                <w:lang w:val="zh-CN"/>
                <w:rFonts w:ascii="Times New Roman" w:hAnsi="Times New Roman" w:cs="Times New Roman"/>
                <w:sz w:val="20"/>
                <w:szCs w:val="20"/>
                <w:color w:val="000000"/>
              </w:rPr>
              <w:t>510122196501284920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14、黄贵成</w:t>
            </w:r>
          </w:p>
        </w:tc>
        <w:tc>
          <w:tcPr>
            <w:tcW w:w="2310" w:type="dxa"/>
            <w:vAlign w:val="center"/>
            <w:gridSpan w:val="2"/>
          </w:tcPr>
          <w:p>
            <w:pPr/>
            <w:r>
              <w:rPr>
                <w:lang w:val="zh-CN"/>
                <w:rFonts w:ascii="Times New Roman" w:hAnsi="Times New Roman" w:cs="Times New Roman"/>
                <w:sz w:val="20"/>
                <w:szCs w:val="20"/>
                <w:color w:val="000000"/>
              </w:rPr>
              <w:t>51012219641015491X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14</w:t>
            </w:r>
          </w:p>
        </w:tc>
        <w:tc>
          <w:tcPr>
            <w:tcW w:w="2310" w:type="dxa"/>
          </w:tcPr>
          <w:p>
            <w:pPr/>
            <w:r>
              <w:rPr>
                <w:lang w:val="zh-CN"/>
                <w:rFonts w:ascii="Times New Roman" w:hAnsi="Times New Roman" w:cs="Times New Roman"/>
                <w:sz w:val="20"/>
                <w:szCs w:val="20"/>
                <w:color w:val="000000"/>
              </w:rPr>
              <w:t>799.00</w:t>
            </w:r>
          </w:p>
        </w:tc>
        <w:tc>
          <w:tcPr>
            <w:tcW w:w="2310" w:type="dxa"/>
          </w:tcPr>
          <w:p>
            <w:pPr/>
            <w:r>
              <w:rPr>
                <w:lang w:val="zh-CN"/>
                <w:rFonts w:ascii="Times New Roman" w:hAnsi="Times New Roman" w:cs="Times New Roman"/>
                <w:sz w:val="20"/>
                <w:szCs w:val="20"/>
                <w:color w:val="000000"/>
              </w:rPr>
              <w:t>11186.00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总金额：壹万壹仟壹佰捌拾陆元整</w:t>
            </w:r>
          </w:p>
        </w:tc>
        <w:tc>
          <w:tcPr>
            <w:tcW w:w="2310" w:type="dxa"/>
            <w:textDirection w:val="right"/>
            <w:gridSpan w:val="3"/>
          </w:tcPr>
          <w:p>
            <w:pPr/>
            <w:r>
              <w:rPr>
                <w:lang w:val="zh-CN"/>
                <w:rFonts w:ascii="Times New Roman" w:hAnsi="Times New Roman" w:cs="Times New Roman"/>
                <w:b/>
                <w:color w:val="FF0000"/>
              </w:rPr>
              <w:t>11186.00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向左全微信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gridSpan w:val="3"/>
          </w:tcPr>
          <w:p>
            <w:pPr/>
            <w:r>
              <w:rPr>
                <w:lang w:val="zh-CN"/>
                <w:rFonts w:ascii="Times New Roman" w:hAnsi="Times New Roman" w:cs="Times New Roman"/>
                <w:sz w:val="20"/>
                <w:szCs w:val="20"/>
                <w:color w:val="000000"/>
              </w:rPr>
              <w:t>无系统</w:t>
            </w:r>
          </w:p>
        </w:tc>
        <w:tc>
          <w:tcPr>
            <w:tcW w:w="2310" w:type="dxa"/>
            <w:gridSpan w:val="2"/>
          </w:tcPr>
          <w:p>
            <w:pPr/>
            <w:r>
              <w:rPr>
                <w:lang w:val="zh-CN"/>
                <w:rFonts w:ascii="Times New Roman" w:hAnsi="Times New Roman" w:cs="Times New Roman"/>
                <w:sz w:val="20"/>
                <w:szCs w:val="20"/>
                <w:color w:val="000000"/>
              </w:rPr>
              <w:t>无系统平台</w:t>
            </w:r>
          </w:p>
        </w:tc>
        <w:tc>
          <w:tcPr>
            <w:tcW w:w="2310" w:type="dxa"/>
            <w:gridSpan w:val="3"/>
          </w:tcPr>
          <w:p>
            <w:pPr/>
            <w:r>
              <w:rPr>
                <w:lang w:val="zh-CN"/>
                <w:rFonts w:ascii="Times New Roman" w:hAnsi="Times New Roman" w:cs="Times New Roman"/>
                <w:sz w:val="20"/>
                <w:szCs w:val="20"/>
                <w:color w:val="000000"/>
              </w:rPr>
              <w:t>0</w:t>
            </w:r>
          </w:p>
        </w:tc>
      </w:tr>
      <w:tr>
        <w:tc>
          <w:tcPr>
            <w:tcW w:w="2310" w:type="dxa"/>
            <w:gridSpan w:val="3"/>
          </w:tcPr>
          <w:p>
            <w:pPr/>
            <w:r>
              <w:rPr>
                <w:lang w:val="zh-CN"/>
                <w:rFonts w:ascii="Times New Roman" w:hAnsi="Times New Roman" w:cs="Times New Roman"/>
                <w:sz w:val="20"/>
                <w:szCs w:val="20"/>
                <w:color w:val="000000"/>
              </w:rPr>
              <w:t>票多多18782271927</w:t>
            </w:r>
          </w:p>
        </w:tc>
        <w:tc>
          <w:tcPr>
            <w:tcW w:w="2310" w:type="dxa"/>
            <w:gridSpan w:val="2"/>
          </w:tcPr>
          <w:p>
            <w:pPr/>
            <w:r>
              <w:rPr>
                <w:lang w:val="zh-CN"/>
                <w:rFonts w:ascii="Times New Roman" w:hAnsi="Times New Roman" w:cs="Times New Roman"/>
                <w:sz w:val="20"/>
                <w:szCs w:val="20"/>
                <w:color w:val="000000"/>
              </w:rPr>
              <w:t>票多多</w:t>
            </w:r>
          </w:p>
        </w:tc>
        <w:tc>
          <w:tcPr>
            <w:tcW w:w="2310" w:type="dxa"/>
            <w:gridSpan w:val="3"/>
          </w:tcPr>
          <w:p>
            <w:pPr/>
            <w:r>
              <w:rPr>
                <w:lang w:val="zh-CN"/>
                <w:rFonts w:ascii="Times New Roman" w:hAnsi="Times New Roman" w:cs="Times New Roman"/>
                <w:sz w:val="20"/>
                <w:szCs w:val="20"/>
                <w:color w:val="000000"/>
              </w:rPr>
              <w:t>000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2026/03/08</w:t>
            </w:r>
          </w:p>
        </w:tc>
        <w:tc>
          <w:tcPr>
            <w:tcW w:w="2310" w:type="dxa"/>
            <w:gridSpan w:val="7"/>
          </w:tcPr>
          <w:p>
            <w:pPr/>
            <w:r>
              <w:rPr>
                <w:lang w:val="zh-CN"/>
                <w:rFonts w:ascii="Times New Roman" w:hAnsi="Times New Roman" w:cs="Times New Roman"/>
                <w:b/>
                <w:color w:val="000000"/>
              </w:rPr>
              <w:t>成都东/遂宁/重庆北→恩施女儿城→凤凰古镇 (动车+汽车)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东06:00-11:00（成都东-恩施）参考车次D2238（09:17-13:47）或D362，导游司机至恩施女儿城接团，后出发游览【土家女儿城】【根据实际时间安排，由导游与客人商量具体游览时间】土家女儿城位于湖北省恩施市区七里坪，作为全国第八个人造古镇，土家女儿城合理且精心的谋划了整体建筑风格，仿古与土家吊脚楼相结合，完美的体现了土家族的民风民俗。（当天出行客人较多，本社为先保出行，暂不接受指定车次，具体以实际出票为准，谢谢配合）恩施出发约4-5小时左右（320公里左右）至凤凰，兴致、体力都够高的朋友不妨马上出来一睹古城的风貌，如：游沙湾吊脚楼群、虹桥、万名塔、跳岩……华灯初上，漫步沱江，古城夜景一览无遗，可在沱江跳岩边放河灯许愿，看着那一盏盏的小灯顺流而下，一切烦恼都随之而去……（当日中餐、晚餐可在恩施女儿城和凤凰古城解决，用餐方便且小吃非常丰富。）温馨提示：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早餐：×；午餐：×；晚餐：×；住宿：凤凰古城</w:t>
            </w:r>
          </w:p>
        </w:tc>
      </w:tr>
      <w:tr>
        <w:tc>
          <w:tcPr>
            <w:tcW w:w="2310" w:type="dxa"/>
            <w:vAlign w:val="center"/>
            <w:vMerge w:val="restart"/>
          </w:tcPr>
          <w:p>
            <w:pPr/>
            <w:r>
              <w:rPr>
                <w:lang w:val="zh-CN"/>
                <w:rFonts w:ascii="Times New Roman" w:hAnsi="Times New Roman" w:cs="Times New Roman"/>
                <w:sz w:val="20"/>
                <w:szCs w:val="20"/>
                <w:color w:val="000000"/>
              </w:rPr>
              <w:t>2026/03/09</w:t>
            </w:r>
          </w:p>
        </w:tc>
        <w:tc>
          <w:tcPr>
            <w:tcW w:w="2310" w:type="dxa"/>
            <w:gridSpan w:val="7"/>
          </w:tcPr>
          <w:p>
            <w:pPr/>
            <w:r>
              <w:rPr>
                <w:lang w:val="zh-CN"/>
                <w:rFonts w:ascii="Times New Roman" w:hAnsi="Times New Roman" w:cs="Times New Roman"/>
                <w:b/>
                <w:color w:val="000000"/>
              </w:rPr>
              <w:t>凤凰古城→张家界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美丽的【凤凰古城】，游览曾被新西兰著名作家路易艾黎称赞为中国最美丽的小城--【凤凰古城】（含古城观光游览，不含古城内需另行付费的小景点，若因政府政策性变化，若需购票敬请自理），漫步凤凰古镇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古老的“湘西茶仓”带给您苗家人的手艺。后乘车抵达张家界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2026/03/10</w:t>
            </w:r>
          </w:p>
        </w:tc>
        <w:tc>
          <w:tcPr>
            <w:tcW w:w="2310" w:type="dxa"/>
            <w:gridSpan w:val="7"/>
          </w:tcPr>
          <w:p>
            <w:pPr/>
            <w:r>
              <w:rPr>
                <w:lang w:val="zh-CN"/>
                <w:rFonts w:ascii="Times New Roman" w:hAnsi="Times New Roman" w:cs="Times New Roman"/>
                <w:b/>
                <w:color w:val="000000"/>
              </w:rPr>
              <w:t>天门山→玻璃栈道→红岩岭(汽车)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张家界新传奇【天门山国家森林公园】（含天门山景区首道大门票）】“网易、环球游报等三十多家媒体联合推选“中国最值得外国人去的50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有号称通天大道【盘山公路】共计99弯，“天下第一公路奇观”横空出世，垂直高差达1279米左右。【天门洞】天门洞是巨大的穿山溶洞，经常雾气弥漫，走上到达天门洞的台阶有种登上天庭的感觉。除此之外，还可以在缆车中俯瞰脚下的盘山公路和山中美景。胆大的还可以走一走贴壁悬空的玻璃栈道，体验凌空行走的刺激。出发至【红岩岭】，红岩岭景区的特色和精华一是水彩丹霞，这里玉面丹霞、如来神掌、一剑崖、浦云寨、小象山、恐龙脚印、公毋渡摩崖字刻等自然和人文景观。二是空中乐园，有荡气回肠的悬崖秋千；有惊险刺激的挑战桥；有穿云破雾的空中飞艇和滑索；更有充满挑战性的飞拉达和热气球；以及童趣的魔网和丛林穿越。温馨提示：因天门山景区是张家界最火爆的旅游景区，每天有售票额度限制，都需提前实名预约门票及游览时间段，景区为分流人群，游览线路分为：一、双程索道A、B、C三条线路，A线票（天门山索道上-快线过道下）B线票（快线索道上-天门山索道下）C线票（快线索道上-快线索道下）ABC线价格同等，二、单程索道1线、2线，1线票（天门山索道上-环保车下）2线票（环保车上-天门山索道下）。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2026/03/11</w:t>
            </w:r>
          </w:p>
        </w:tc>
        <w:tc>
          <w:tcPr>
            <w:tcW w:w="2310" w:type="dxa"/>
            <w:gridSpan w:val="7"/>
          </w:tcPr>
          <w:p>
            <w:pPr/>
            <w:r>
              <w:rPr>
                <w:lang w:val="zh-CN"/>
                <w:rFonts w:ascii="Times New Roman" w:hAnsi="Times New Roman" w:cs="Times New Roman"/>
                <w:b/>
                <w:color w:val="000000"/>
              </w:rPr>
              <w:t>土特产→张家界大峡谷→张家界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土家民族精粹和传统手工艺术展览中心—【土特产超市】该中心以涉及土家传统文化、张家界特色纯天然植物研究、张家界特色矿产岩石应用等领域。生活超市自由选购当地土特产，赠予亲朋好友。出发至张家界游览国家AAAA景区有“小九寨沟”之称的—【张家界大峡谷景区】（门票已含，云天渡玻璃桥上桥费自理）大峡谷主要景点：一线天、天梯栈道、三叠游道平台、吴王坡、石壁裂缝、千年古藤、神泉峡等。大峡谷中的飞瀑神泉比比皆是，一路游览下来，让人目不暇接。峡谷里植被繁茂，空气清新，凉爽舒适，溪水上弥漫着一层薄雾，宛如来到世外桃源，让人烦恼顿消。后乘车抵达张家界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早餐：√；午餐：√；晚餐：×；住宿：张家界</w:t>
            </w:r>
          </w:p>
        </w:tc>
      </w:tr>
      <w:tr>
        <w:tc>
          <w:tcPr>
            <w:tcW w:w="2310" w:type="dxa"/>
            <w:vAlign w:val="center"/>
            <w:vMerge w:val="restart"/>
          </w:tcPr>
          <w:p>
            <w:pPr/>
            <w:r>
              <w:rPr>
                <w:lang w:val="zh-CN"/>
                <w:rFonts w:ascii="Times New Roman" w:hAnsi="Times New Roman" w:cs="Times New Roman"/>
                <w:sz w:val="20"/>
                <w:szCs w:val="20"/>
                <w:color w:val="000000"/>
              </w:rPr>
              <w:t>2026/03/12</w:t>
            </w:r>
          </w:p>
        </w:tc>
        <w:tc>
          <w:tcPr>
            <w:tcW w:w="2310" w:type="dxa"/>
            <w:gridSpan w:val="7"/>
          </w:tcPr>
          <w:p>
            <w:pPr/>
            <w:r>
              <w:rPr>
                <w:lang w:val="zh-CN"/>
                <w:rFonts w:ascii="Times New Roman" w:hAnsi="Times New Roman" w:cs="Times New Roman"/>
                <w:b/>
                <w:color w:val="000000"/>
              </w:rPr>
              <w:t>土司城/土司府→恩施→重庆北/遂宁/成都东(汽车+动车)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土司王府/土司城】它是土家文化发源地，看一座神秘的古宅,看二个杰出的名人的故园,看三件镇宅之宝,体验土家族四种神奇，老院子始建于清雍正初年，其建筑风格为四井封火墙式土家建筑，融土家园林.土家吊角楼于一体，是典型的毕兹卡（土家族）居民。是整个湘西乃至全国幸存下来，保存最为完好的土家古宅，堪称土家建筑的活化石。张家界出发约4小时左右车程至恩施，回程出发15:00-18:00（恩施-成都东）左右动车，参考动车D2237次（16:06—20:46）结束此次愉快行程！(当天回程客人较多，本社为先保出行，暂不接受指定车次，县体以实际出票为准，谢谢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1、门票</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首道大门票：天门山森林公园/张家界大峡谷门票/红岩岭赠送：凤凰接驳车+土司城/土司府+天门山穿山扶梯单程+玻璃栈道鞋套2、住宿</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全程入住商务型酒店或客栈保证充分的睡眠（双人标间；不含单房差如需产生单房差现补由客人补给导游）参考店张家界市区</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峰源山水客栈、尚峰尚水客栈、乐途客栈、维一风尚酒店、大华酒店、今朝大酒店、柒加壹客栈、九司别院、简雅民宿、恒祥酒店，梦之家，长公馆，聚贤山庄，水木年华，红星雅居。丽豪大酒店，汇鹏酒店或同等天子山下</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画说武陵、依山傍水，山水缘，山水主题客栈，异乡人、月溪谷客栈或同等凤凰区域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苗江大酒店、安怡大酒店、晓晚酒店、皇朝大酒店、金百汇大酒店、相悦酒店，湘夫人，金悦酒店，派柏云酒店，伯爵大酒店，龙凤客栈或同等指定酒店如遇特殊情况如：政府重大活动、大型会议或房满等我社有权另行安排同级别酒店入住！3、用餐</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4早4正，正餐为九菜一汤、十人一桌；不用餐不退费用；早餐为酒店内包含（部分酒店早餐为非自助，具体以酒店实际安排为准，敬请知悉）；正餐中升级三个特色餐：【土家三下锅】+【娃娃鱼特色餐】+【湘西苗王宴】4、用车</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空调旅游车，保证一人一正座，接送站为普通车（专业接送站/机工作人员）；5、导服</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全程持证导游服务，（接送站工作人员安排）6、大交通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成都东至恩施往返动车二等座（座位随机）7、保险</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景区意外险，旅行社责任险8、儿童价</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儿童报价含正餐半餐、车位，导服；不含门票、电瓶车、床位，如产生景区项目消费按实际收费标准自理。9、优惠退费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此产品为打包报价，所有景点门票项目如客人不看不用，概不退费。任何人群均无任何优（如客人在参团过程中途退团，旅行社不退任何费用并补600元/人）10、行程安排</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在不减少景点情况下,导游可以灵活调整行程游览顺序，中途离团需要按实际产生费用补齐成本。</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必须消费：无自愿自费：景区小交通玻璃桥上桥费用128元/人（建议体验），寻宝电梯35元/人（建议体验）以及景区内其他体验项目自愿自理（如：滑索，滑道，VR，游船等）天门山扶梯单程32元/人，可自行行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请游客带好有效身份证原件：16周岁以上需带好二代身份证，16岁以下儿童带好有效户口本原件登机（团体机票一经开出，不得签转、更改、退票，如出现退票情况只退机建费）2、儿童、70岁以上的老年人、孕妇游客必须有全程监护人陪同旅游，有不适病史须提前通报，自身病史或自己造成的人身意外游客本人负全责。旅游途中请游客注意自己的人身和财产安全！3、如发生不可抗力、危及旅游者人身、财产安全，或者非旅行社责任造成的意外情形，旅行社不得不调整或者变更旅游合同约定的行程安排时，我社必须向旅游者做出说明！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5、以上行程在不减少景点的前提下导游可根据实际情况进行调换；小孩报价12周岁（含12岁）以下，不占床、不含门票。6、中途均不允许客人以任何借口离团，若中途客人离团视同游客违约，用房、餐、车等一切费用不退，旅行社亦不承担游客离团时发生意外事故的所有责任。7、散拼团有一定的特殊性，由于客人来的交通不一样，如遇航班、火车晚点，短时间的等待属于正常情况，由于客观原因造成未能赶到正常发班时间的，产生额外费用，客人自行承担。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9．因张家界景区属于高山自然景观，以登山为主，且车程较长，为了您的出行安全，请游客在出行前做一次必要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加散拼！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11、根据湖南省张家界市和湘西州凤凰古城景区环保规定，为减少一次性用品浪费，保护世界自然遗产和历史文化名城的环境，两地所有酒店及民宿已全面停止提供一次性洗漱用品（包括牙刷、牙膏、梳子、剃须刀、浴帽等）。该政策自2019年起实施，是湖南省"守护青山绿水"环保行动的重要组成部分。您的理解与配合将直接助力于武陵源自然保护区和沱江流域的生态环境保护。12、接受此行程默认接受此行程明细中披露的所有内容条款，不接受此类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李霞</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向爱春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 19:28:42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