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四川全球通国际旅行社股份公司武侯分公司团队/散客确认件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省青李霞</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李霞</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18908178407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四川全球通国际旅行社股份公司武侯分公司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向爱春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18040322860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ZZB05DC260308B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【2车】精典天门山双动5天 26年3.8活动班</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2026-03-12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返程 2026-03-12 D2237 恩施→成都东 16:04-20:4</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1、郑书康</w:t>
            </w:r>
          </w:p>
        </w:tc>
        <w:tc>
          <w:tcPr>
            <w:tcW w:w="2310" w:type="dxa"/>
            <w:vAlign w:val="center"/>
            <w:gridSpan w:val="2"/>
          </w:tcPr>
          <w:p>
            <w:pPr/>
            <w:r>
              <w:rPr>
                <w:lang w:val="zh-CN"/>
                <w:rFonts w:ascii="Times New Roman" w:hAnsi="Times New Roman" w:cs="Times New Roman"/>
                <w:sz w:val="20"/>
                <w:szCs w:val="20"/>
                <w:color w:val="000000"/>
              </w:rPr>
              <w:t>510122195612284398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2、熊秀华</w:t>
            </w:r>
          </w:p>
        </w:tc>
        <w:tc>
          <w:tcPr>
            <w:tcW w:w="2310" w:type="dxa"/>
            <w:vAlign w:val="center"/>
            <w:gridSpan w:val="2"/>
          </w:tcPr>
          <w:p>
            <w:pPr/>
            <w:r>
              <w:rPr>
                <w:lang w:val="zh-CN"/>
                <w:rFonts w:ascii="Times New Roman" w:hAnsi="Times New Roman" w:cs="Times New Roman"/>
                <w:sz w:val="20"/>
                <w:szCs w:val="20"/>
                <w:color w:val="000000"/>
              </w:rPr>
              <w:t>510122195908264361</w:t>
            </w:r>
          </w:p>
        </w:tc>
        <w:tc>
          <w:tcPr>
            <w:tcW w:w="2310" w:type="dxa"/>
            <w:vAlign w:val="center"/>
          </w:tcPr>
          <w:p>
            <w:pPr/>
            <w:r>
              <w:rPr>
                <w:lang w:val="zh-CN"/>
                <w:rFonts w:ascii="Times New Roman" w:hAnsi="Times New Roman" w:cs="Times New Roman"/>
                <w:sz w:val="20"/>
                <w:szCs w:val="20"/>
                <w:color w:val="000000"/>
              </w:rPr>
              <w:t>18328431751</w:t>
            </w:r>
          </w:p>
        </w:tc>
      </w:tr>
      <w:tr>
        <w:tc>
          <w:tcPr>
            <w:tcW w:w="2310" w:type="dxa"/>
            <w:vAlign w:val="center"/>
          </w:tcPr>
          <w:p>
            <w:pPr/>
            <w:r>
              <w:rPr>
                <w:lang w:val="zh-CN"/>
                <w:rFonts w:ascii="Times New Roman" w:hAnsi="Times New Roman" w:cs="Times New Roman"/>
                <w:sz w:val="20"/>
                <w:szCs w:val="20"/>
                <w:color w:val="000000"/>
              </w:rPr>
              <w:t>3、刘静</w:t>
            </w:r>
          </w:p>
        </w:tc>
        <w:tc>
          <w:tcPr>
            <w:tcW w:w="2310" w:type="dxa"/>
            <w:vAlign w:val="center"/>
            <w:gridSpan w:val="2"/>
          </w:tcPr>
          <w:p>
            <w:pPr/>
            <w:r>
              <w:rPr>
                <w:lang w:val="zh-CN"/>
                <w:rFonts w:ascii="Times New Roman" w:hAnsi="Times New Roman" w:cs="Times New Roman"/>
                <w:sz w:val="20"/>
                <w:szCs w:val="20"/>
                <w:color w:val="000000"/>
              </w:rPr>
              <w:t>51068119850317414X</w:t>
            </w:r>
          </w:p>
        </w:tc>
        <w:tc>
          <w:tcPr>
            <w:tcW w:w="2310" w:type="dxa"/>
            <w:vAlign w:val="center"/>
          </w:tcPr>
          <w:p>
            <w:pPr/>
            <w:r>
              <w:rPr>
                <w:lang w:val="zh-CN"/>
                <w:rFonts w:ascii="Times New Roman" w:hAnsi="Times New Roman" w:cs="Times New Roman"/>
                <w:sz w:val="20"/>
                <w:szCs w:val="20"/>
                <w:color w:val="000000"/>
              </w:rPr>
              <w:t>17713563752</w:t>
            </w:r>
          </w:p>
        </w:tc>
        <w:tc>
          <w:tcPr>
            <w:tcW w:w="2310" w:type="dxa"/>
            <w:vAlign w:val="center"/>
          </w:tcPr>
          <w:p>
            <w:pPr/>
            <w:r>
              <w:rPr>
                <w:lang w:val="zh-CN"/>
                <w:rFonts w:ascii="Times New Roman" w:hAnsi="Times New Roman" w:cs="Times New Roman"/>
                <w:sz w:val="20"/>
                <w:szCs w:val="20"/>
                <w:color w:val="000000"/>
              </w:rPr>
              <w:t>4、曾强</w:t>
            </w:r>
          </w:p>
        </w:tc>
        <w:tc>
          <w:tcPr>
            <w:tcW w:w="2310" w:type="dxa"/>
            <w:vAlign w:val="center"/>
            <w:gridSpan w:val="2"/>
          </w:tcPr>
          <w:p>
            <w:pPr/>
            <w:r>
              <w:rPr>
                <w:lang w:val="zh-CN"/>
                <w:rFonts w:ascii="Times New Roman" w:hAnsi="Times New Roman" w:cs="Times New Roman"/>
                <w:sz w:val="20"/>
                <w:szCs w:val="20"/>
                <w:color w:val="000000"/>
              </w:rPr>
              <w:t>510122197608134919</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799.00</w:t>
            </w:r>
          </w:p>
        </w:tc>
        <w:tc>
          <w:tcPr>
            <w:tcW w:w="2310" w:type="dxa"/>
          </w:tcPr>
          <w:p>
            <w:pPr/>
            <w:r>
              <w:rPr>
                <w:lang w:val="zh-CN"/>
                <w:rFonts w:ascii="Times New Roman" w:hAnsi="Times New Roman" w:cs="Times New Roman"/>
                <w:sz w:val="20"/>
                <w:szCs w:val="20"/>
                <w:color w:val="000000"/>
              </w:rPr>
              <w:t>3196.00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总金额：叁仟壹佰玖拾陆元整</w:t>
            </w:r>
          </w:p>
        </w:tc>
        <w:tc>
          <w:tcPr>
            <w:tcW w:w="2310" w:type="dxa"/>
            <w:textDirection w:val="right"/>
            <w:gridSpan w:val="3"/>
          </w:tcPr>
          <w:p>
            <w:pPr/>
            <w:r>
              <w:rPr>
                <w:lang w:val="zh-CN"/>
                <w:rFonts w:ascii="Times New Roman" w:hAnsi="Times New Roman" w:cs="Times New Roman"/>
                <w:b/>
                <w:color w:val="FF0000"/>
              </w:rPr>
              <w:t>3196.00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建设银行蜀西路支行</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6214 9938 1105 7806</w:t>
            </w:r>
          </w:p>
        </w:tc>
      </w:tr>
      <w:tr>
        <w:tc>
          <w:tcPr>
            <w:tcW w:w="2310" w:type="dxa"/>
            <w:gridSpan w:val="3"/>
          </w:tcPr>
          <w:p>
            <w:pPr/>
            <w:r>
              <w:rPr>
                <w:lang w:val="zh-CN"/>
                <w:rFonts w:ascii="Times New Roman" w:hAnsi="Times New Roman" w:cs="Times New Roman"/>
                <w:sz w:val="20"/>
                <w:szCs w:val="20"/>
                <w:color w:val="000000"/>
              </w:rPr>
              <w:t>向左全微信</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18782271927</w:t>
            </w:r>
          </w:p>
        </w:tc>
      </w:tr>
      <w:tr>
        <w:tc>
          <w:tcPr>
            <w:tcW w:w="2310" w:type="dxa"/>
            <w:gridSpan w:val="3"/>
          </w:tcPr>
          <w:p>
            <w:pPr/>
            <w:r>
              <w:rPr>
                <w:lang w:val="zh-CN"/>
                <w:rFonts w:ascii="Times New Roman" w:hAnsi="Times New Roman" w:cs="Times New Roman"/>
                <w:sz w:val="20"/>
                <w:szCs w:val="20"/>
                <w:color w:val="000000"/>
              </w:rPr>
              <w:t>招商银行信用卡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6225768762925228</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张又双工作微信</w:t>
            </w:r>
          </w:p>
        </w:tc>
      </w:tr>
      <w:tr>
        <w:tc>
          <w:tcPr>
            <w:tcW w:w="2310" w:type="dxa"/>
            <w:gridSpan w:val="3"/>
          </w:tcPr>
          <w:p>
            <w:pPr/>
            <w:r>
              <w:rPr>
                <w:lang w:val="zh-CN"/>
                <w:rFonts w:ascii="Times New Roman" w:hAnsi="Times New Roman" w:cs="Times New Roman"/>
                <w:sz w:val="20"/>
                <w:szCs w:val="20"/>
                <w:color w:val="000000"/>
              </w:rPr>
              <w:t>中国建设银行股份有限公司成都蓝天支行</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6217003800053320861</w:t>
            </w:r>
          </w:p>
        </w:tc>
      </w:tr>
      <w:tr>
        <w:tc>
          <w:tcPr>
            <w:tcW w:w="2310" w:type="dxa"/>
            <w:gridSpan w:val="3"/>
          </w:tcPr>
          <w:p>
            <w:pPr/>
            <w:r>
              <w:rPr>
                <w:lang w:val="zh-CN"/>
                <w:rFonts w:ascii="Times New Roman" w:hAnsi="Times New Roman" w:cs="Times New Roman"/>
                <w:sz w:val="20"/>
                <w:szCs w:val="20"/>
                <w:color w:val="000000"/>
              </w:rPr>
              <w:t>张又双支付宝</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15756216956</w:t>
            </w:r>
          </w:p>
        </w:tc>
      </w:tr>
      <w:tr>
        <w:tc>
          <w:tcPr>
            <w:tcW w:w="2310" w:type="dxa"/>
            <w:gridSpan w:val="3"/>
          </w:tcPr>
          <w:p>
            <w:pPr/>
            <w:r>
              <w:rPr>
                <w:lang w:val="zh-CN"/>
                <w:rFonts w:ascii="Times New Roman" w:hAnsi="Times New Roman" w:cs="Times New Roman"/>
                <w:sz w:val="20"/>
                <w:szCs w:val="20"/>
                <w:color w:val="000000"/>
              </w:rPr>
              <w:t>无系统</w:t>
            </w:r>
          </w:p>
        </w:tc>
        <w:tc>
          <w:tcPr>
            <w:tcW w:w="2310" w:type="dxa"/>
            <w:gridSpan w:val="2"/>
          </w:tcPr>
          <w:p>
            <w:pPr/>
            <w:r>
              <w:rPr>
                <w:lang w:val="zh-CN"/>
                <w:rFonts w:ascii="Times New Roman" w:hAnsi="Times New Roman" w:cs="Times New Roman"/>
                <w:sz w:val="20"/>
                <w:szCs w:val="20"/>
                <w:color w:val="000000"/>
              </w:rPr>
              <w:t>无系统平台</w:t>
            </w:r>
          </w:p>
        </w:tc>
        <w:tc>
          <w:tcPr>
            <w:tcW w:w="2310" w:type="dxa"/>
            <w:gridSpan w:val="3"/>
          </w:tcPr>
          <w:p>
            <w:pPr/>
            <w:r>
              <w:rPr>
                <w:lang w:val="zh-CN"/>
                <w:rFonts w:ascii="Times New Roman" w:hAnsi="Times New Roman" w:cs="Times New Roman"/>
                <w:sz w:val="20"/>
                <w:szCs w:val="20"/>
                <w:color w:val="000000"/>
              </w:rPr>
              <w:t>0</w:t>
            </w:r>
          </w:p>
        </w:tc>
      </w:tr>
      <w:tr>
        <w:tc>
          <w:tcPr>
            <w:tcW w:w="2310" w:type="dxa"/>
            <w:gridSpan w:val="3"/>
          </w:tcPr>
          <w:p>
            <w:pPr/>
            <w:r>
              <w:rPr>
                <w:lang w:val="zh-CN"/>
                <w:rFonts w:ascii="Times New Roman" w:hAnsi="Times New Roman" w:cs="Times New Roman"/>
                <w:sz w:val="20"/>
                <w:szCs w:val="20"/>
                <w:color w:val="000000"/>
              </w:rPr>
              <w:t>票多多18782271927</w:t>
            </w:r>
          </w:p>
        </w:tc>
        <w:tc>
          <w:tcPr>
            <w:tcW w:w="2310" w:type="dxa"/>
            <w:gridSpan w:val="2"/>
          </w:tcPr>
          <w:p>
            <w:pPr/>
            <w:r>
              <w:rPr>
                <w:lang w:val="zh-CN"/>
                <w:rFonts w:ascii="Times New Roman" w:hAnsi="Times New Roman" w:cs="Times New Roman"/>
                <w:sz w:val="20"/>
                <w:szCs w:val="20"/>
                <w:color w:val="000000"/>
              </w:rPr>
              <w:t>票多多</w:t>
            </w:r>
          </w:p>
        </w:tc>
        <w:tc>
          <w:tcPr>
            <w:tcW w:w="2310" w:type="dxa"/>
            <w:gridSpan w:val="3"/>
          </w:tcPr>
          <w:p>
            <w:pPr/>
            <w:r>
              <w:rPr>
                <w:lang w:val="zh-CN"/>
                <w:rFonts w:ascii="Times New Roman" w:hAnsi="Times New Roman" w:cs="Times New Roman"/>
                <w:sz w:val="20"/>
                <w:szCs w:val="20"/>
                <w:color w:val="000000"/>
              </w:rPr>
              <w:t>000</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1、门票</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首道大门票：天门山森林公园/张家界大峡谷门票/红岩岭赠送：凤凰接驳车+土司城/土司府+天门山穿山扶梯单程+玻璃栈道鞋套2、住宿</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全程入住商务型酒店或客栈保证充分的睡眠（双人标间；不含单房差如需产生单房差现补由客人补给导游）参考店张家界市区</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峰源山水客栈、尚峰尚水客栈、乐途客栈、维一风尚酒店、大华酒店、今朝大酒店、柒加壹客栈、九司别院、简雅民宿、恒祥酒店，梦之家，长公馆，聚贤山庄，水木年华，红星雅居。丽豪大酒店，汇鹏酒店或同等天子山下</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画说武陵、依山傍水，山水缘，山水主题客栈，异乡人、月溪谷客栈或同等凤凰区域</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苗江大酒店、安怡大酒店、晓晚酒店、皇朝大酒店、金百汇大酒店、相悦酒店，湘夫人，金悦酒店，派柏云酒店，伯爵大酒店，龙凤客栈或同等指定酒店如遇特殊情况如：政府重大活动、大型会议或房满等我社有权另行安排同级别酒店入住！3、用餐</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4早4正，正餐为九菜一汤、十人一桌；不用餐不退费用；早餐为酒店内包含（部分酒店早餐为非自助，具体以酒店实际安排为准，敬请知悉）；正餐中升级三个特色餐：【土家三下锅】+【娃娃鱼特色餐】+【湘西苗王宴】4、用车</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空调旅游车，保证一人一正座，接送站为普通车（专业接送站/机工作人员）；5、导服</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全程持证导游服务，（接送站工作人员安排）6、大交通</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成都东至恩施往返动车二等座（座位随机）7、保险</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景区意外险，旅行社责任险8、儿童价</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儿童报价含正餐半餐、车位，导服；不含门票、电瓶车、床位，如产生景区项目消费按实际收费标准自理。9、优惠退费</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此产品为打包报价，所有景点门票项目如客人不看不用，概不退费。任何人群均无任何优（如客人在参团过程中途退团，旅行社不退任何费用并补600元/人）10、行程安排</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在不减少景点情况下,导游可以灵活调整行程游览顺序，中途离团需要按实际产生费用补齐成本。</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必须消费：无自愿自费：景区小交通玻璃桥上桥费用128元/人（建议体验），寻宝电梯35元/人（建议体验）以及景区内其他体验项目自愿自理（如：滑索，滑道，VR，游船等）天门山扶梯单程32元/人，可自行行选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请游客带好有效身份证原件：16周岁以上需带好二代身份证，16岁以下儿童带好有效户口本原件登机（团体机票一经开出，不得签转、更改、退票，如出现退票情况只退机建费）2、儿童、70岁以上的老年人、孕妇游客必须有全程监护人陪同旅游，有不适病史须提前通报，自身病史或自己造成的人身意外游客本人负全责。旅游途中请游客注意自己的人身和财产安全！3、如发生不可抗力、危及旅游者人身、财产安全，或者非旅行社责任造成的意外情形，旅行社不得不调整或者变更旅游合同约定的行程安排时，我社必须向旅游者做出说明！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5、以上行程在不减少景点的前提下导游可根据实际情况进行调换；小孩报价12周岁（含12岁）以下，不占床、不含门票。6、中途均不允许客人以任何借口离团，若中途客人离团视同游客违约，用房、餐、车等一切费用不退，旅行社亦不承担游客离团时发生意外事故的所有责任。7、散拼团有一定的特殊性，由于客人来的交通不一样，如遇航班、火车晚点，短时间的等待属于正常情况，由于客观原因造成未能赶到正常发班时间的，产生额外费用，客人自行承担。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9．因张家界景区属于高山自然景观，以登山为主，且车程较长，为了您的出行安全，请游客在出行前做一次必要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加散拼！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11、根据湖南省张家界市和湘西州凤凰古城景区环保规定，为减少一次性用品浪费，保护世界自然遗产和历史文化名城的环境，两地所有酒店及民宿已全面停止提供一次性洗漱用品（包括牙刷、牙膏、梳子、剃须刀、浴帽等）。该政策自2019年起实施，是湖南省"守护青山绿水"环保行动的重要组成部分。您的理解与配合将直接助力于武陵源自然保护区和沱江流域的生态环境保护。12、接受此行程默认接受此行程明细中披露的所有内容条款，不接受此类投诉。</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李霞</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向爱春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 19:33:13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