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张家界新旅程国际旅行社有限责任公司团队/散客确认件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王立国</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王</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18980892398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张家界新旅程国际旅行社有限责任公司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刘茵茵</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19980512362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DZD06GT260907A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【定制团】6天</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6(6大)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1、黄天勇</w:t>
            </w:r>
          </w:p>
        </w:tc>
        <w:tc>
          <w:tcPr>
            <w:tcW w:w="2310" w:type="dxa"/>
            <w:vAlign w:val="center"/>
            <w:gridSpan w:val="2"/>
          </w:tcPr>
          <w:p>
            <w:pPr/>
            <w:r>
              <w:rPr>
                <w:lang w:val="zh-CN"/>
                <w:rFonts w:ascii="Times New Roman" w:hAnsi="Times New Roman" w:cs="Times New Roman"/>
                <w:sz w:val="20"/>
                <w:szCs w:val="20"/>
                <w:color w:val="000000"/>
              </w:rPr>
              <w:t>512922196601157473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2、何琼</w:t>
            </w:r>
          </w:p>
        </w:tc>
        <w:tc>
          <w:tcPr>
            <w:tcW w:w="2310" w:type="dxa"/>
            <w:vAlign w:val="center"/>
            <w:gridSpan w:val="2"/>
          </w:tcPr>
          <w:p>
            <w:pPr/>
            <w:r>
              <w:rPr>
                <w:lang w:val="zh-CN"/>
                <w:rFonts w:ascii="Times New Roman" w:hAnsi="Times New Roman" w:cs="Times New Roman"/>
                <w:sz w:val="20"/>
                <w:szCs w:val="20"/>
                <w:color w:val="000000"/>
              </w:rPr>
              <w:t>512922196605277480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3、周厚炳</w:t>
            </w:r>
          </w:p>
        </w:tc>
        <w:tc>
          <w:tcPr>
            <w:tcW w:w="2310" w:type="dxa"/>
            <w:vAlign w:val="center"/>
            <w:gridSpan w:val="2"/>
          </w:tcPr>
          <w:p>
            <w:pPr/>
            <w:r>
              <w:rPr>
                <w:lang w:val="zh-CN"/>
                <w:rFonts w:ascii="Times New Roman" w:hAnsi="Times New Roman" w:cs="Times New Roman"/>
                <w:sz w:val="20"/>
                <w:szCs w:val="20"/>
                <w:color w:val="000000"/>
              </w:rPr>
              <w:t>511025197610174076</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4、罗霞</w:t>
            </w:r>
          </w:p>
        </w:tc>
        <w:tc>
          <w:tcPr>
            <w:tcW w:w="2310" w:type="dxa"/>
            <w:vAlign w:val="center"/>
            <w:gridSpan w:val="2"/>
          </w:tcPr>
          <w:p>
            <w:pPr/>
            <w:r>
              <w:rPr>
                <w:lang w:val="zh-CN"/>
                <w:rFonts w:ascii="Times New Roman" w:hAnsi="Times New Roman" w:cs="Times New Roman"/>
                <w:sz w:val="20"/>
                <w:szCs w:val="20"/>
                <w:color w:val="000000"/>
              </w:rPr>
              <w:t>511025197406043861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5、张全伟</w:t>
            </w:r>
          </w:p>
        </w:tc>
        <w:tc>
          <w:tcPr>
            <w:tcW w:w="2310" w:type="dxa"/>
            <w:vAlign w:val="center"/>
            <w:gridSpan w:val="2"/>
          </w:tcPr>
          <w:p>
            <w:pPr/>
            <w:r>
              <w:rPr>
                <w:lang w:val="zh-CN"/>
                <w:rFonts w:ascii="Times New Roman" w:hAnsi="Times New Roman" w:cs="Times New Roman"/>
                <w:sz w:val="20"/>
                <w:szCs w:val="20"/>
                <w:color w:val="000000"/>
              </w:rPr>
              <w:t>519004197407225339</w:t>
            </w:r>
          </w:p>
        </w:tc>
        <w:tc>
          <w:tcPr>
            <w:tcW w:w="2310" w:type="dxa"/>
            <w:vAlign w:val="center"/>
          </w:tcPr>
          <w:p>
            <w:pPr/>
            <w:r>
              <w:rPr>
                <w:lang w:val="zh-CN"/>
                <w:rFonts w:ascii="Times New Roman" w:hAnsi="Times New Roman" w:cs="Times New Roman"/>
                <w:sz w:val="20"/>
                <w:szCs w:val="20"/>
                <w:color w:val="000000"/>
              </w:rPr>
              <w:t>18980010499</w:t>
            </w:r>
          </w:p>
        </w:tc>
        <w:tc>
          <w:tcPr>
            <w:tcW w:w="2310" w:type="dxa"/>
            <w:vAlign w:val="center"/>
          </w:tcPr>
          <w:p>
            <w:pPr/>
            <w:r>
              <w:rPr>
                <w:lang w:val="zh-CN"/>
                <w:rFonts w:ascii="Times New Roman" w:hAnsi="Times New Roman" w:cs="Times New Roman"/>
                <w:sz w:val="20"/>
                <w:szCs w:val="20"/>
                <w:color w:val="000000"/>
              </w:rPr>
              <w:t>6、李淑慧</w:t>
            </w:r>
          </w:p>
        </w:tc>
        <w:tc>
          <w:tcPr>
            <w:tcW w:w="2310" w:type="dxa"/>
            <w:vAlign w:val="center"/>
            <w:gridSpan w:val="2"/>
          </w:tcPr>
          <w:p>
            <w:pPr/>
            <w:r>
              <w:rPr>
                <w:lang w:val="zh-CN"/>
                <w:rFonts w:ascii="Times New Roman" w:hAnsi="Times New Roman" w:cs="Times New Roman"/>
                <w:sz w:val="20"/>
                <w:szCs w:val="20"/>
                <w:color w:val="000000"/>
              </w:rPr>
              <w:t>511126197601200967</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3200.00</w:t>
            </w:r>
          </w:p>
        </w:tc>
        <w:tc>
          <w:tcPr>
            <w:tcW w:w="2310" w:type="dxa"/>
          </w:tcPr>
          <w:p>
            <w:pPr/>
            <w:r>
              <w:rPr>
                <w:lang w:val="zh-CN"/>
                <w:rFonts w:ascii="Times New Roman" w:hAnsi="Times New Roman" w:cs="Times New Roman"/>
                <w:sz w:val="20"/>
                <w:szCs w:val="20"/>
                <w:color w:val="000000"/>
              </w:rPr>
              <w:t>19200.00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60岁门票退优</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-255.00</w:t>
            </w:r>
          </w:p>
        </w:tc>
        <w:tc>
          <w:tcPr>
            <w:tcW w:w="2310" w:type="dxa"/>
          </w:tcPr>
          <w:p>
            <w:pPr/>
            <w:r>
              <w:rPr>
                <w:lang w:val="zh-CN"/>
                <w:rFonts w:ascii="Times New Roman" w:hAnsi="Times New Roman" w:cs="Times New Roman"/>
                <w:sz w:val="20"/>
                <w:szCs w:val="20"/>
                <w:color w:val="000000"/>
              </w:rPr>
              <w:t>-510.00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0.00</w:t>
            </w:r>
          </w:p>
        </w:tc>
        <w:tc>
          <w:tcPr>
            <w:tcW w:w="2310" w:type="dxa"/>
          </w:tcPr>
          <w:p>
            <w:pPr/>
            <w:r>
              <w:rPr>
                <w:lang w:val="zh-CN"/>
                <w:rFonts w:ascii="Times New Roman" w:hAnsi="Times New Roman" w:cs="Times New Roman"/>
                <w:sz w:val="20"/>
                <w:szCs w:val="20"/>
                <w:color w:val="000000"/>
              </w:rPr>
              <w:t>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总金额：壹万捌仟陆佰玖拾元整</w:t>
            </w:r>
          </w:p>
        </w:tc>
        <w:tc>
          <w:tcPr>
            <w:tcW w:w="2310" w:type="dxa"/>
            <w:textDirection w:val="right"/>
            <w:gridSpan w:val="3"/>
          </w:tcPr>
          <w:p>
            <w:pPr/>
            <w:r>
              <w:rPr>
                <w:lang w:val="zh-CN"/>
                <w:rFonts w:ascii="Times New Roman" w:hAnsi="Times New Roman" w:cs="Times New Roman"/>
                <w:b/>
                <w:color w:val="FF0000"/>
              </w:rPr>
              <w:t>18690.00</w:t>
            </w:r>
          </w:p>
        </w:tc>
      </w:tr>
      <w:tr>
        <w:tc>
          <w:tcPr>
            <w:tcW w:w="2310" w:type="dxa"/>
            <w:gridSpan w:val="8"/>
          </w:tcPr>
          <w:p>
            <w:pPr/>
            <w:r>
              <w:rPr>
                <w:lang w:val="zh-CN"/>
                <w:rFonts w:ascii="Times New Roman" w:hAnsi="Times New Roman" w:cs="Times New Roman"/>
                <w:sz w:val="20"/>
                <w:szCs w:val="20"/>
                <w:color w:val="000000"/>
              </w:rPr>
              <w:t>线下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3间四钻标间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司兼导  司机可推魅力湘西晚会 帮忙买票指游览方向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6正餐</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建设银行蜀西路支行</w:t>
            </w:r>
          </w:p>
        </w:tc>
        <w:tc>
          <w:tcPr>
            <w:tcW w:w="2310" w:type="dxa"/>
            <w:gridSpan w:val="2"/>
          </w:tcPr>
          <w:p>
            <w:pPr/>
            <w:r>
              <w:rPr>
                <w:lang w:val="zh-CN"/>
                <w:rFonts w:ascii="Times New Roman" w:hAnsi="Times New Roman" w:cs="Times New Roman"/>
                <w:sz w:val="20"/>
                <w:szCs w:val="20"/>
                <w:color w:val="000000"/>
              </w:rPr>
              <w:t>向左全</w:t>
            </w:r>
          </w:p>
        </w:tc>
        <w:tc>
          <w:tcPr>
            <w:tcW w:w="2310" w:type="dxa"/>
            <w:gridSpan w:val="3"/>
          </w:tcPr>
          <w:p>
            <w:pPr/>
            <w:r>
              <w:rPr>
                <w:lang w:val="zh-CN"/>
                <w:rFonts w:ascii="Times New Roman" w:hAnsi="Times New Roman" w:cs="Times New Roman"/>
                <w:sz w:val="20"/>
                <w:szCs w:val="20"/>
                <w:color w:val="000000"/>
              </w:rPr>
              <w:t>6214 9938 1105 7806</w:t>
            </w:r>
          </w:p>
        </w:tc>
      </w:tr>
      <w:tr>
        <w:tc>
          <w:tcPr>
            <w:tcW w:w="2310" w:type="dxa"/>
            <w:gridSpan w:val="3"/>
          </w:tcPr>
          <w:p>
            <w:pPr/>
            <w:r>
              <w:rPr>
                <w:lang w:val="zh-CN"/>
                <w:rFonts w:ascii="Times New Roman" w:hAnsi="Times New Roman" w:cs="Times New Roman"/>
                <w:sz w:val="20"/>
                <w:szCs w:val="20"/>
                <w:color w:val="000000"/>
              </w:rPr>
              <w:t>向左全微信</w:t>
            </w:r>
          </w:p>
        </w:tc>
        <w:tc>
          <w:tcPr>
            <w:tcW w:w="2310" w:type="dxa"/>
            <w:gridSpan w:val="2"/>
          </w:tcPr>
          <w:p>
            <w:pPr/>
            <w:r>
              <w:rPr>
                <w:lang w:val="zh-CN"/>
                <w:rFonts w:ascii="Times New Roman" w:hAnsi="Times New Roman" w:cs="Times New Roman"/>
                <w:sz w:val="20"/>
                <w:szCs w:val="20"/>
                <w:color w:val="000000"/>
              </w:rPr>
              <w:t>向左全</w:t>
            </w:r>
          </w:p>
        </w:tc>
        <w:tc>
          <w:tcPr>
            <w:tcW w:w="2310" w:type="dxa"/>
            <w:gridSpan w:val="3"/>
          </w:tcPr>
          <w:p>
            <w:pPr/>
            <w:r>
              <w:rPr>
                <w:lang w:val="zh-CN"/>
                <w:rFonts w:ascii="Times New Roman" w:hAnsi="Times New Roman" w:cs="Times New Roman"/>
                <w:sz w:val="20"/>
                <w:szCs w:val="20"/>
                <w:color w:val="000000"/>
              </w:rPr>
              <w:t>18782271927</w:t>
            </w:r>
          </w:p>
        </w:tc>
      </w:tr>
      <w:tr>
        <w:tc>
          <w:tcPr>
            <w:tcW w:w="2310" w:type="dxa"/>
            <w:gridSpan w:val="3"/>
          </w:tcPr>
          <w:p>
            <w:pPr/>
            <w:r>
              <w:rPr>
                <w:lang w:val="zh-CN"/>
                <w:rFonts w:ascii="Times New Roman" w:hAnsi="Times New Roman" w:cs="Times New Roman"/>
                <w:sz w:val="20"/>
                <w:szCs w:val="20"/>
                <w:color w:val="000000"/>
              </w:rPr>
              <w:t>招商银行信用卡</w:t>
            </w:r>
          </w:p>
        </w:tc>
        <w:tc>
          <w:tcPr>
            <w:tcW w:w="2310" w:type="dxa"/>
            <w:gridSpan w:val="2"/>
          </w:tcPr>
          <w:p>
            <w:pPr/>
            <w:r>
              <w:rPr>
                <w:lang w:val="zh-CN"/>
                <w:rFonts w:ascii="Times New Roman" w:hAnsi="Times New Roman" w:cs="Times New Roman"/>
                <w:sz w:val="20"/>
                <w:szCs w:val="20"/>
                <w:color w:val="000000"/>
              </w:rPr>
              <w:t>张又双</w:t>
            </w:r>
          </w:p>
        </w:tc>
        <w:tc>
          <w:tcPr>
            <w:tcW w:w="2310" w:type="dxa"/>
            <w:gridSpan w:val="3"/>
          </w:tcPr>
          <w:p>
            <w:pPr/>
            <w:r>
              <w:rPr>
                <w:lang w:val="zh-CN"/>
                <w:rFonts w:ascii="Times New Roman" w:hAnsi="Times New Roman" w:cs="Times New Roman"/>
                <w:sz w:val="20"/>
                <w:szCs w:val="20"/>
                <w:color w:val="000000"/>
              </w:rPr>
              <w:t>6225768762925228</w:t>
            </w:r>
          </w:p>
        </w:tc>
      </w:tr>
      <w:tr>
        <w:tc>
          <w:tcPr>
            <w:tcW w:w="2310" w:type="dxa"/>
            <w:gridSpan w:val="3"/>
          </w:tcPr>
          <w:p>
            <w:pPr/>
            <w:r>
              <w:rPr>
                <w:lang w:val="zh-CN"/>
                <w:rFonts w:ascii="Times New Roman" w:hAnsi="Times New Roman" w:cs="Times New Roman"/>
                <w:sz w:val="20"/>
                <w:szCs w:val="20"/>
                <w:color w:val="000000"/>
              </w:rPr>
              <w:t>微信</w:t>
            </w:r>
          </w:p>
        </w:tc>
        <w:tc>
          <w:tcPr>
            <w:tcW w:w="2310" w:type="dxa"/>
            <w:gridSpan w:val="2"/>
          </w:tcPr>
          <w:p>
            <w:pPr/>
            <w:r>
              <w:rPr>
                <w:lang w:val="zh-CN"/>
                <w:rFonts w:ascii="Times New Roman" w:hAnsi="Times New Roman" w:cs="Times New Roman"/>
                <w:sz w:val="20"/>
                <w:szCs w:val="20"/>
                <w:color w:val="000000"/>
              </w:rPr>
              <w:t>张又双</w:t>
            </w:r>
          </w:p>
        </w:tc>
        <w:tc>
          <w:tcPr>
            <w:tcW w:w="2310" w:type="dxa"/>
            <w:gridSpan w:val="3"/>
          </w:tcPr>
          <w:p>
            <w:pPr/>
            <w:r>
              <w:rPr>
                <w:lang w:val="zh-CN"/>
                <w:rFonts w:ascii="Times New Roman" w:hAnsi="Times New Roman" w:cs="Times New Roman"/>
                <w:sz w:val="20"/>
                <w:szCs w:val="20"/>
                <w:color w:val="000000"/>
              </w:rPr>
              <w:t>张又双工作微信</w:t>
            </w:r>
          </w:p>
        </w:tc>
      </w:tr>
      <w:tr>
        <w:tc>
          <w:tcPr>
            <w:tcW w:w="2310" w:type="dxa"/>
            <w:gridSpan w:val="3"/>
          </w:tcPr>
          <w:p>
            <w:pPr/>
            <w:r>
              <w:rPr>
                <w:lang w:val="zh-CN"/>
                <w:rFonts w:ascii="Times New Roman" w:hAnsi="Times New Roman" w:cs="Times New Roman"/>
                <w:sz w:val="20"/>
                <w:szCs w:val="20"/>
                <w:color w:val="000000"/>
              </w:rPr>
              <w:t>中国建设银行股份有限公司成都蓝天支行</w:t>
            </w:r>
          </w:p>
        </w:tc>
        <w:tc>
          <w:tcPr>
            <w:tcW w:w="2310" w:type="dxa"/>
            <w:gridSpan w:val="2"/>
          </w:tcPr>
          <w:p>
            <w:pPr/>
            <w:r>
              <w:rPr>
                <w:lang w:val="zh-CN"/>
                <w:rFonts w:ascii="Times New Roman" w:hAnsi="Times New Roman" w:cs="Times New Roman"/>
                <w:sz w:val="20"/>
                <w:szCs w:val="20"/>
                <w:color w:val="000000"/>
              </w:rPr>
              <w:t>张又双</w:t>
            </w:r>
          </w:p>
        </w:tc>
        <w:tc>
          <w:tcPr>
            <w:tcW w:w="2310" w:type="dxa"/>
            <w:gridSpan w:val="3"/>
          </w:tcPr>
          <w:p>
            <w:pPr/>
            <w:r>
              <w:rPr>
                <w:lang w:val="zh-CN"/>
                <w:rFonts w:ascii="Times New Roman" w:hAnsi="Times New Roman" w:cs="Times New Roman"/>
                <w:sz w:val="20"/>
                <w:szCs w:val="20"/>
                <w:color w:val="000000"/>
              </w:rPr>
              <w:t>6217003800053320861</w:t>
            </w:r>
          </w:p>
        </w:tc>
      </w:tr>
      <w:tr>
        <w:tc>
          <w:tcPr>
            <w:tcW w:w="2310" w:type="dxa"/>
            <w:gridSpan w:val="3"/>
          </w:tcPr>
          <w:p>
            <w:pPr/>
            <w:r>
              <w:rPr>
                <w:lang w:val="zh-CN"/>
                <w:rFonts w:ascii="Times New Roman" w:hAnsi="Times New Roman" w:cs="Times New Roman"/>
                <w:sz w:val="20"/>
                <w:szCs w:val="20"/>
                <w:color w:val="000000"/>
              </w:rPr>
              <w:t>张又双支付宝</w:t>
            </w:r>
          </w:p>
        </w:tc>
        <w:tc>
          <w:tcPr>
            <w:tcW w:w="2310" w:type="dxa"/>
            <w:gridSpan w:val="2"/>
          </w:tcPr>
          <w:p>
            <w:pPr/>
            <w:r>
              <w:rPr>
                <w:lang w:val="zh-CN"/>
                <w:rFonts w:ascii="Times New Roman" w:hAnsi="Times New Roman" w:cs="Times New Roman"/>
                <w:sz w:val="20"/>
                <w:szCs w:val="20"/>
                <w:color w:val="000000"/>
              </w:rPr>
              <w:t>张又双</w:t>
            </w:r>
          </w:p>
        </w:tc>
        <w:tc>
          <w:tcPr>
            <w:tcW w:w="2310" w:type="dxa"/>
            <w:gridSpan w:val="3"/>
          </w:tcPr>
          <w:p>
            <w:pPr/>
            <w:r>
              <w:rPr>
                <w:lang w:val="zh-CN"/>
                <w:rFonts w:ascii="Times New Roman" w:hAnsi="Times New Roman" w:cs="Times New Roman"/>
                <w:sz w:val="20"/>
                <w:szCs w:val="20"/>
                <w:color w:val="000000"/>
              </w:rPr>
              <w:t>15756216956</w:t>
            </w:r>
          </w:p>
        </w:tc>
      </w:tr>
      <w:tr>
        <w:tc>
          <w:tcPr>
            <w:tcW w:w="2310" w:type="dxa"/>
            <w:gridSpan w:val="3"/>
          </w:tcPr>
          <w:p>
            <w:pPr/>
            <w:r>
              <w:rPr>
                <w:lang w:val="zh-CN"/>
                <w:rFonts w:ascii="Times New Roman" w:hAnsi="Times New Roman" w:cs="Times New Roman"/>
                <w:sz w:val="20"/>
                <w:szCs w:val="20"/>
                <w:color w:val="000000"/>
              </w:rPr>
              <w:t>无系统</w:t>
            </w:r>
          </w:p>
        </w:tc>
        <w:tc>
          <w:tcPr>
            <w:tcW w:w="2310" w:type="dxa"/>
            <w:gridSpan w:val="2"/>
          </w:tcPr>
          <w:p>
            <w:pPr/>
            <w:r>
              <w:rPr>
                <w:lang w:val="zh-CN"/>
                <w:rFonts w:ascii="Times New Roman" w:hAnsi="Times New Roman" w:cs="Times New Roman"/>
                <w:sz w:val="20"/>
                <w:szCs w:val="20"/>
                <w:color w:val="000000"/>
              </w:rPr>
              <w:t>无系统平台</w:t>
            </w:r>
          </w:p>
        </w:tc>
        <w:tc>
          <w:tcPr>
            <w:tcW w:w="2310" w:type="dxa"/>
            <w:gridSpan w:val="3"/>
          </w:tcPr>
          <w:p>
            <w:pPr/>
            <w:r>
              <w:rPr>
                <w:lang w:val="zh-CN"/>
                <w:rFonts w:ascii="Times New Roman" w:hAnsi="Times New Roman" w:cs="Times New Roman"/>
                <w:sz w:val="20"/>
                <w:szCs w:val="20"/>
                <w:color w:val="000000"/>
              </w:rPr>
              <w:t>0</w:t>
            </w:r>
          </w:p>
        </w:tc>
      </w:tr>
      <w:tr>
        <w:tc>
          <w:tcPr>
            <w:tcW w:w="2310" w:type="dxa"/>
            <w:gridSpan w:val="3"/>
          </w:tcPr>
          <w:p>
            <w:pPr/>
            <w:r>
              <w:rPr>
                <w:lang w:val="zh-CN"/>
                <w:rFonts w:ascii="Times New Roman" w:hAnsi="Times New Roman" w:cs="Times New Roman"/>
                <w:sz w:val="20"/>
                <w:szCs w:val="20"/>
                <w:color w:val="000000"/>
              </w:rPr>
              <w:t>票多多18782271927</w:t>
            </w:r>
          </w:p>
        </w:tc>
        <w:tc>
          <w:tcPr>
            <w:tcW w:w="2310" w:type="dxa"/>
            <w:gridSpan w:val="2"/>
          </w:tcPr>
          <w:p>
            <w:pPr/>
            <w:r>
              <w:rPr>
                <w:lang w:val="zh-CN"/>
                <w:rFonts w:ascii="Times New Roman" w:hAnsi="Times New Roman" w:cs="Times New Roman"/>
                <w:sz w:val="20"/>
                <w:szCs w:val="20"/>
                <w:color w:val="000000"/>
              </w:rPr>
              <w:t>票多多</w:t>
            </w:r>
          </w:p>
        </w:tc>
        <w:tc>
          <w:tcPr>
            <w:tcW w:w="2310" w:type="dxa"/>
            <w:gridSpan w:val="3"/>
          </w:tcPr>
          <w:p>
            <w:pPr/>
            <w:r>
              <w:rPr>
                <w:lang w:val="zh-CN"/>
                <w:rFonts w:ascii="Times New Roman" w:hAnsi="Times New Roman" w:cs="Times New Roman"/>
                <w:sz w:val="20"/>
                <w:szCs w:val="20"/>
                <w:color w:val="000000"/>
              </w:rPr>
              <w:t>000</w:t>
            </w:r>
          </w:p>
        </w:tc>
      </w:tr>
      <w:tr>
        <w:tc>
          <w:tcPr>
            <w:tcW w:w="2310" w:type="dxa"/>
            <w:gridSpan w:val="3"/>
          </w:tcPr>
          <w:p>
            <w:pPr/>
            <w:r>
              <w:rPr>
                <w:lang w:val="zh-CN"/>
                <w:rFonts w:ascii="Times New Roman" w:hAnsi="Times New Roman" w:cs="Times New Roman"/>
                <w:sz w:val="20"/>
                <w:szCs w:val="20"/>
                <w:color w:val="000000"/>
              </w:rPr>
              <w:t>空中田园充值账户</w:t>
            </w:r>
          </w:p>
        </w:tc>
        <w:tc>
          <w:tcPr>
            <w:tcW w:w="2310" w:type="dxa"/>
            <w:gridSpan w:val="2"/>
          </w:tcPr>
          <w:p>
            <w:pPr/>
            <w:r>
              <w:rPr>
                <w:lang w:val="zh-CN"/>
                <w:rFonts w:ascii="Times New Roman" w:hAnsi="Times New Roman" w:cs="Times New Roman"/>
                <w:sz w:val="20"/>
                <w:szCs w:val="20"/>
                <w:color w:val="000000"/>
              </w:rPr>
              <w:t>空中田园</w:t>
            </w:r>
          </w:p>
        </w:tc>
        <w:tc>
          <w:tcPr>
            <w:tcW w:w="2310" w:type="dxa"/>
            <w:gridSpan w:val="3"/>
          </w:tcPr>
          <w:p>
            <w:pPr/>
            <w:r>
              <w:rPr>
                <w:lang w:val="zh-CN"/>
                <w:rFonts w:ascii="Times New Roman" w:hAnsi="Times New Roman" w:cs="Times New Roman"/>
                <w:sz w:val="20"/>
                <w:szCs w:val="20"/>
                <w:color w:val="000000"/>
              </w:rPr>
              <w:t>0000</w:t>
            </w:r>
          </w:p>
        </w:tc>
      </w:tr>
      <w:tr>
        <w:tc>
          <w:tcPr>
            <w:tcW w:w="2310" w:type="dxa"/>
            <w:gridSpan w:val="3"/>
          </w:tcPr>
          <w:p>
            <w:pPr/>
            <w:r>
              <w:rPr>
                <w:lang w:val="zh-CN"/>
                <w:rFonts w:ascii="Times New Roman" w:hAnsi="Times New Roman" w:cs="Times New Roman"/>
                <w:sz w:val="20"/>
                <w:szCs w:val="20"/>
                <w:color w:val="000000"/>
              </w:rPr>
              <w:t>四川银行股份有限公司成都武侯支行</w:t>
            </w:r>
          </w:p>
        </w:tc>
        <w:tc>
          <w:tcPr>
            <w:tcW w:w="2310" w:type="dxa"/>
            <w:gridSpan w:val="2"/>
          </w:tcPr>
          <w:p>
            <w:pPr/>
            <w:r>
              <w:rPr>
                <w:lang w:val="zh-CN"/>
                <w:rFonts w:ascii="Times New Roman" w:hAnsi="Times New Roman" w:cs="Times New Roman"/>
                <w:sz w:val="20"/>
                <w:szCs w:val="20"/>
                <w:color w:val="000000"/>
              </w:rPr>
              <w:t>四川易飞易国际旅行社有限公司武侯第十分公司</w:t>
            </w:r>
          </w:p>
        </w:tc>
        <w:tc>
          <w:tcPr>
            <w:tcW w:w="2310" w:type="dxa"/>
            <w:gridSpan w:val="3"/>
          </w:tcPr>
          <w:p>
            <w:pPr/>
            <w:r>
              <w:rPr>
                <w:lang w:val="zh-CN"/>
                <w:rFonts w:ascii="Times New Roman" w:hAnsi="Times New Roman" w:cs="Times New Roman"/>
                <w:sz w:val="20"/>
                <w:szCs w:val="20"/>
                <w:color w:val="000000"/>
              </w:rPr>
              <w:t>800090000000284294</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第1天：成都东-张家界西-芙蓉镇</w:t>
            </w:r>
            <w:r>
              <w:rPr>
                <w:lang w:val="zh-CN"/>
                <w:rFonts w:ascii="Times New Roman" w:hAnsi="Times New Roman" w:cs="Times New Roman"/>
                <w:b/>
                <w:color w:val="000000"/>
              </w:rPr>
              <w:tab/>
            </w:r>
            <w:r>
              <w:rPr>
                <w:lang w:val="zh-CN"/>
                <w:rFonts w:ascii="Times New Roman" w:hAnsi="Times New Roman" w:cs="Times New Roman"/>
                <w:b/>
                <w:color w:val="000000"/>
              </w:rPr>
              <w:t>住：芙蓉镇</w:t>
            </w:r>
            <w:r>
              <w:rPr>
                <w:lang w:val="zh-CN"/>
                <w:rFonts w:ascii="Times New Roman" w:hAnsi="Times New Roman" w:cs="Times New Roman"/>
                <w:b/>
                <w:color w:val="000000"/>
              </w:rPr>
              <w:tab/>
            </w:r>
            <w:r>
              <w:rPr>
                <w:lang w:val="zh-CN"/>
                <w:rFonts w:ascii="Times New Roman" w:hAnsi="Times New Roman" w:cs="Times New Roman"/>
                <w:b/>
                <w:color w:val="000000"/>
              </w:rPr>
              <w:t>餐：-/中/-(高铁+汽车)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早上乘坐G2445成都东-张家界西（08：00-11：58）前往到达森林覆盖率70.99%的“国家森林城市”张家界市； 接站前往芙蓉镇，车程程2小时（95公里）适时，游览挂在瀑布上千年古镇--【芙蓉镇】，全名：湘西土家族苗族自治州芙蓉镇景区，为国家4A级旅游景区，原名王村，因谢晋导演执导,刘晓庆主演的《芙蓉镇》而得名。镇中风光风情独特，五里青石板长街，两旁板门店铺，土家吊角楼顺坡而建，淳朴的土家民族风情十分迷人。逛千年五里青石板街、土家吊脚楼、古秦汉街等，还可品尝芙蓉镇特色小吃——刘晓庆113号米豆腐。抵达后入住酒店。注意：花开芙蓉晚会为芙蓉古镇安排，因天气、景区调整、客人晚到等原因导致的无法观赏，将暂不接受此类投诉。【温馨提示】1、若因张家界火车站附近交通受限，可能车不能到火车站门口，步行至乘车处约3--5分钟，带来不便敬请见谅；2、接站人员提前在高铁站等候客人,请游客务必保持手机畅通。</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早餐：×；午餐：×；晚餐：√；住宿：芙蓉镇</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第2天： 芙蓉镇-张家界大峡谷</w:t>
            </w:r>
            <w:r>
              <w:rPr>
                <w:lang w:val="zh-CN"/>
                <w:rFonts w:ascii="Times New Roman" w:hAnsi="Times New Roman" w:cs="Times New Roman"/>
                <w:b/>
                <w:color w:val="000000"/>
              </w:rPr>
              <w:tab/>
            </w:r>
            <w:r>
              <w:rPr>
                <w:lang w:val="zh-CN"/>
                <w:rFonts w:ascii="Times New Roman" w:hAnsi="Times New Roman" w:cs="Times New Roman"/>
                <w:b/>
                <w:color w:val="000000"/>
              </w:rPr>
              <w:t>住：张家界</w:t>
            </w:r>
            <w:r>
              <w:rPr>
                <w:lang w:val="zh-CN"/>
                <w:rFonts w:ascii="Times New Roman" w:hAnsi="Times New Roman" w:cs="Times New Roman"/>
                <w:b/>
                <w:color w:val="000000"/>
              </w:rPr>
              <w:tab/>
            </w:r>
            <w:r>
              <w:rPr>
                <w:lang w:val="zh-CN"/>
                <w:rFonts w:ascii="Times New Roman" w:hAnsi="Times New Roman" w:cs="Times New Roman"/>
                <w:b/>
                <w:color w:val="000000"/>
              </w:rPr>
              <w:t>餐：早/中/-(汽车)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芙蓉古镇】（含门票+游船）山水如画，多情的酉水养育了世世代代的土家儿女，也造就了沿岸动人的风光，酉水画廊纳含着芙蓉镇的草木、山水、人儿，一道道美丽的彩虹是它编织的最美西兰卡普。这里得酉水舟楫之便，上通川渝，下达洞庭，素有“楚蜀通津”之称。因谢晋执导，刘晓庆、姜文主演的电影《芙蓉镇》在此取景而出名，于是人们便把此地叫做芙蓉镇。时代变迁，历久弥新，更因其独特的原始人文，静谧山水成为新时代湖南旅游新宠。芙蓉古镇大瀑布，酉水码头繁华依旧！午餐后游览【张家界大峡谷】(门票+游船已赠送，如需上玻璃桥则上桥费用和电梯等其他费用自理)又名乱泉峡：是指峡谷中的两面石壁，溪泉众多，满峡飞流。峡谷内的主要景点有：一线天天梯栈道、三叠游道、平台吴王坡、石壁裂、张家界大峡谷缝、全家福、妇唱夫随、千年古藤、石上森林、慈航普渡、天仙水瀑布、曲径幽林闯王亭、张家界大峡谷南方红旗渠、天河观景台、 翠潭揽瀑、一路平安桥、隔音石、竹仙泉、仙人洗面、蝴蝶泉瀑布、怪谜洞、佛手遮天、烂船岩、张家界大峡谷土匪洞等景点。关于张家界大峡谷，土家人世代还流传着了这么一个故事。很久很久以前，龙王的小女 儿偷偷地从龙宫溜出来玩耍，无意间来到这里，只见这里花香扑鼻，蜂飞蝶舞，流水淙淙……一下就被峡谷中的美景奇境深深吸引住了，竟产生了不想再回龙宫的想法，于是在这里潜心修道，最后修成正果，得道成仙。小龙女成仙之后，土家人来到这里，就着这条小溪世代繁衍至今。人们为了纪念小龙女的恩赐，就给大峡谷取了一个令人心动的名字——龙女河。</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早餐：√；午餐：√；晚餐：×；住宿：张家界</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第3天：张家界国家森林公园（百龙电梯上-袁家界-杨家界-天子山-天子索道下）</w:t>
            </w:r>
            <w:r>
              <w:rPr>
                <w:lang w:val="zh-CN"/>
                <w:rFonts w:ascii="Times New Roman" w:hAnsi="Times New Roman" w:cs="Times New Roman"/>
                <w:b/>
                <w:color w:val="000000"/>
              </w:rPr>
              <w:tab/>
            </w:r>
            <w:r>
              <w:rPr>
                <w:lang w:val="zh-CN"/>
                <w:rFonts w:ascii="Times New Roman" w:hAnsi="Times New Roman" w:cs="Times New Roman"/>
                <w:b/>
                <w:color w:val="000000"/>
              </w:rPr>
              <w:t>住：张家界</w:t>
            </w:r>
            <w:r>
              <w:rPr>
                <w:lang w:val="zh-CN"/>
                <w:rFonts w:ascii="Times New Roman" w:hAnsi="Times New Roman" w:cs="Times New Roman"/>
                <w:b/>
                <w:color w:val="000000"/>
              </w:rPr>
              <w:tab/>
            </w:r>
            <w:r>
              <w:rPr>
                <w:lang w:val="zh-CN"/>
                <w:rFonts w:ascii="Times New Roman" w:hAnsi="Times New Roman" w:cs="Times New Roman"/>
                <w:b/>
                <w:color w:val="000000"/>
              </w:rPr>
              <w:t>餐：早/中/-(汽车)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出发至第一个国家森林公园核心景区【张家界核心景区】后乘坐百龙电梯上山（百龙电梯单程费用已含）游览【袁家界风景区】（游览时间约1.5小时）：袁家界风景以雄、奇、险、峻著称，在十多华里的环山游道上，沿途景色美不胜数，其中可观赏到：电影《阿凡达》中“哈利路亚山”原型“乾坤柱”、迄今为止发现落差最高的天然石桥—天下第一桥(桥墩绝对高度354米)、九天玄梯、八卦图、猿人望月、拜仙台、迷魂台等景点。后走进张家界北纬30°地理新发现【杨家界风景区】观看峰墙之绝，峰丛之秀，峰林之奇。出发乘环保车30分钟左右，前往游览峰林奇观【天子山核心景区】（游览时间约2小时）,天子山被誉为峰林之王，千座山峰兀立云雾中、风光旖旎、景色秀美，游览天子阁、西海石林、御笔峰、仙女献花、贺龙公园、石船出海、采药老人、贺龙铜像等景点；后乘坐【天子索道】下山（单程，费用已含）下山后安排用餐后入住酒店结束当天行程。温馨提示：1、交通类---进入景区以后，景点与景点之间全是用景区内的免费的环保车提供服务，并非一个团一个专车，而且一个团有可能不能坐同一辆环保车前往下一下景点，景区游人众多，请一定要在导游指定的地点汇合，不能走散，更不要将随身所带物品遗失在环保车上；旺季游人众多，排队情况时有发生，敬请谅解！为避免严重排队我们选择错峰上下山，百龙电梯、杨家界索道，根据实际情况安排。2、穿着类---张家界以山为主，为方便在山区游览，请穿平跟鞋，建议不穿裙子，自带雨具、太阳帽等物品。3、安全类---景区内群猴众多，请不要近距离接近猴群，更不要去触摸山上的野生动物，以免发生伤害事件。早晚温差很大，请根据当天的天气预报随身携带厚衣服，以便随时添加。在景区内请不要随意攀爬。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早餐：√；午餐：√；晚餐：×；住宿：张家界</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第4天：二进森林公园（金鞭溪大峡谷-十里画廊）-宝峰湖</w:t>
            </w:r>
            <w:r>
              <w:rPr>
                <w:lang w:val="zh-CN"/>
                <w:rFonts w:ascii="Times New Roman" w:hAnsi="Times New Roman" w:cs="Times New Roman"/>
                <w:b/>
                <w:color w:val="000000"/>
              </w:rPr>
              <w:tab/>
            </w:r>
            <w:r>
              <w:rPr>
                <w:lang w:val="zh-CN"/>
                <w:rFonts w:ascii="Times New Roman" w:hAnsi="Times New Roman" w:cs="Times New Roman"/>
                <w:b/>
                <w:color w:val="000000"/>
              </w:rPr>
              <w:t>住：张家界</w:t>
            </w:r>
            <w:r>
              <w:rPr>
                <w:lang w:val="zh-CN"/>
                <w:rFonts w:ascii="Times New Roman" w:hAnsi="Times New Roman" w:cs="Times New Roman"/>
                <w:b/>
                <w:color w:val="000000"/>
              </w:rPr>
              <w:tab/>
            </w:r>
            <w:r>
              <w:rPr>
                <w:lang w:val="zh-CN"/>
                <w:rFonts w:ascii="Times New Roman" w:hAnsi="Times New Roman" w:cs="Times New Roman"/>
                <w:b/>
                <w:color w:val="000000"/>
              </w:rPr>
              <w:t>餐：早/中/-(汽车)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出发游览张家界第一个国家森林公园【武陵源核心景区】-AAAAA张家界国家森林公园，漫步大氧广场，广场上绿树成荫、空气新鲜、生机勃勃，这里是全国负氧离子最高的地方，许多人来到这里的第一件事就是深呼吸，感受大自然的味道，令人心旷神怡、神清气爽；世界最美的【金鞭溪大峡谷】。金鞭溪因溪畔有一座【金鞭岩】而得名，并享有“世界上最美丽的峡谷”之美称。金鞭溪曲折宛转，随山而流，两岸峭壁刀刃，岸畔奇花荟萃，沿途享受鸟语花香、潺潺流水，可谓泉水激石，泠泠作响；好鸟相争，嘤嘤成韵。水皆缥碧，千丈见底，游鱼细石，直视无碍，夏日清凉一刻。沿途可游览神鹰护鞭、猪八戒背媳妇等景点。继续游峡谷两岸林木葱茏,野花飘香;奇峰异石,千姿百态,象一幅巨大的山水画卷——【十里画廊风景区】（步行游览40分钟，体力不支的客人可乘坐小火车，费用自理），沿途可欣赏天台、三姐妹峰、向王观书、寿星迎宾、采药老人、锦鼠观天、猛虎啸天等景点。下午乘车前往【宝峰湖景区】（大门票/环保车/游船已含），是一座高峡平湖，四面青山，一泓碧水，风光旖旎。湖长2.5公里，平均水深72米，湖光山色，奇美异常。景区内还有千米高峡、十里瑶池、奇峰飞瀑、绝壁栈道、深山古寺、醉人民俗等景观。宝峰湖的主要景点包括【宝峰湖】、【鹰窝寨】、【宝峰飞瀑】等80多个。其中，宝峰飞瀑被誉为“飞流直下三千尺”，是宝峰湖的一处标志性景点。此外，电视剧《西游记》中的花果山水帘洞外景便拍摄于“奇峰飞瀑”。</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早餐：√；午餐：√；晚餐：×；住宿：张家界</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第5天：天门山-凤凰古城-夜游沱江（凤凰三景其一）</w:t>
            </w:r>
            <w:r>
              <w:rPr>
                <w:lang w:val="zh-CN"/>
                <w:rFonts w:ascii="Times New Roman" w:hAnsi="Times New Roman" w:cs="Times New Roman"/>
                <w:b/>
                <w:color w:val="000000"/>
              </w:rPr>
              <w:tab/>
            </w:r>
            <w:r>
              <w:rPr>
                <w:lang w:val="zh-CN"/>
                <w:rFonts w:ascii="Times New Roman" w:hAnsi="Times New Roman" w:cs="Times New Roman"/>
                <w:b/>
                <w:color w:val="000000"/>
              </w:rPr>
              <w:t>住：凤凰古城</w:t>
            </w:r>
            <w:r>
              <w:rPr>
                <w:lang w:val="zh-CN"/>
                <w:rFonts w:ascii="Times New Roman" w:hAnsi="Times New Roman" w:cs="Times New Roman"/>
                <w:b/>
                <w:color w:val="000000"/>
              </w:rPr>
              <w:tab/>
            </w:r>
            <w:r>
              <w:rPr>
                <w:lang w:val="zh-CN"/>
                <w:rFonts w:ascii="Times New Roman" w:hAnsi="Times New Roman" w:cs="Times New Roman"/>
                <w:b/>
                <w:color w:val="000000"/>
              </w:rPr>
              <w:t>餐：早/中/-(汽车)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车赴张家界新传奇【天门山国家森林公园】（含天门山景区首道大门票+穿山扶梯单程+鞋套已含）“网易、环球游报等三十多家媒体联合推选“中国最值得外国人去的50个地方”，天门山与长城、兵马俑、黄山、泰山、敦煌等中国顶级旅游品牌并肩获评金奖。文学大师金庸欣然挥毫“天门仙山”四个大字；艺术大师黄永玉更两度洒墨，绘出天门山的神韵和巍峨。俯瞰张家界全景，观赏奇妙美丽的盆景花园，还有勇气之路悬空玻璃栈道，挑战你的高空极限！【天门山玻璃栈道】玻璃栈道是张家界天门山景区继悬于峭壁之上的鬼谷栈道、凭空伸出的玻璃眺望台、横跨峡谷的木质吊桥后打造的又一试胆力作。可与举世闻名的美国大峡谷玻璃走廊“天空之路”媲美，因而有了东方“天空之路”的美誉。有号称通天大道【盘山公路】共计99弯，“天下第一公路奇观”横空出世，垂直高差达1279米左右。【天门洞】天门洞是巨大的穿山溶洞，经常雾气弥漫，走上到达天门洞的台阶有种登上天庭的感觉。除此之外，还可以在缆车中俯瞰脚下的盘山公路和山中美景。胆大的还可以走一走贴壁悬空的玻璃栈道，体验凌空行走的刺激。游玩后乘车前往至美丽的【凤凰古城】（含接驳车价值28元/人）兴致、体力都够高的朋友不妨马上出来一睹古城的风貌，如：游沙湾吊脚楼群、虹桥、万名塔、跳岩……可在凤凰有名的烧烤夜市一条街解决，小吃、烧烤绝对能让你食欲大动。【沱江夜游】乘坐乌篷船沱江夜游泛舟，顺江观赏两岸错落吊脚楼，虹桥、万名塔风光尽收眼底。一砖一瓦诉说湘西百年沧桑，人文与山水交相辉映，领略不一样的湘西边城风情！可在沱江跳岩边放河灯许愿，看着那一盏盏的小灯顺流而下，一切烦恼都随之而去……后安排入住酒店。温馨提示：1.因天门山景区是张家界最火爆的旅游景区，每天有售票额度限制，都需提前实名预约门票及游览时间段，景区为分流人群，游览线路分为：一、双程索道A、B、C三条线路，A线票（天门山索道上-快线过道下）B线票（快线索道上-天门山索道下）C线票（快线索道上-快线索道下）ABC线价格同等，二、单程索道1线、2线，1线票（天门山索道上-环保车下）2线票（环保车上-天门山索道下）。旅游旺季旅行社无法自主选择其中一条线路，最终解释权归天门山景区负责，敬请理解和配合。每个团队都必须按网上最终预约成功的线路及时间段游览，本旅行社不接受对天门山景区关于排队时间过长及预约景区线路不同的投诉！。2.凤凰古城因交通管制，城区实行环保车接驳，旅游换乘车辆有时只能在指定位置停车，需步行入住酒店，大件行李可自主自费选择托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早餐：√；午餐：√；晚餐：×；住宿：凤凰古城</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第6天：凤凰古城-怀化南-成都东</w:t>
            </w:r>
            <w:r>
              <w:rPr>
                <w:lang w:val="zh-CN"/>
                <w:rFonts w:ascii="Times New Roman" w:hAnsi="Times New Roman" w:cs="Times New Roman"/>
                <w:b/>
                <w:color w:val="000000"/>
              </w:rPr>
              <w:tab/>
            </w:r>
            <w:r>
              <w:rPr>
                <w:lang w:val="zh-CN"/>
                <w:rFonts w:ascii="Times New Roman" w:hAnsi="Times New Roman" w:cs="Times New Roman"/>
                <w:b/>
                <w:color w:val="000000"/>
              </w:rPr>
              <w:t>住：温馨的家</w:t>
            </w:r>
            <w:r>
              <w:rPr>
                <w:lang w:val="zh-CN"/>
                <w:rFonts w:ascii="Times New Roman" w:hAnsi="Times New Roman" w:cs="Times New Roman"/>
                <w:b/>
                <w:color w:val="000000"/>
              </w:rPr>
              <w:tab/>
            </w:r>
            <w:r>
              <w:rPr>
                <w:lang w:val="zh-CN"/>
                <w:rFonts w:ascii="Times New Roman" w:hAnsi="Times New Roman" w:cs="Times New Roman"/>
                <w:b/>
                <w:color w:val="000000"/>
              </w:rPr>
              <w:t>餐：早/中/-(汽车+高铁)</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凤凰古城】走进千年凤凰古城，品读浓郁湘西人文底蕴。探访【沈从文故居】感悟边城文学的魅力，感受一代文学大师的生活旧居；漫步【万寿宫】品鉴黄永玉书画艺术，欣赏沙湾江边古朴古建筑；游玩后自由逛古城街区，可观虹桥、跳岩，可漫步古城石板街巷，傍晚古城灯火次第亮起，夜市小吃琳琅满目，也可自行选购当地特色小吃。游玩结束后适时安排前往怀化南送站，乘坐G2369怀化南-成都东（15：28-20：58）根据大交通时间，返回温暖的家。一缕阳光，两丝清风，万里无云，风和日丽，希望本次旅行的回忆，成为您以后工作中永恒的心灵驿站！【温馨提示】：今日返程，请检查好个人物品，不要遗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早餐：√；午餐：√；晚餐：×；住宿：温馨回家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门票：【张家界国家森林公园（袁家界/天子山/金鞭溪/+百龙电梯+天子索道）】+【天门山国家森林公园+单程扶梯+鞋套】+宝峰湖+【凤凰接驳车+凤凰三景（夜游沱江+沈从文故居+万寿宫）】+芙蓉镇+张家界大峡谷住宿：行程入住当地四钻酒店或同等特色客栈保证充分的睡眠用餐：行程含5早6正餐，正餐50元/餐/人酒店房费含早餐（部分酒店早餐为非自助，具体以酒店实际安排为准，敬请知悉）用车：9座别克商务车，保证一人一正座大交通：成都东至张家界往返高铁二等座（座位随机） 保险：旅行社责任险、景区意外险 行程安排：不减少景点情况下导游可以灵活调整行程游览顺序中途离团需要按实际产生费用补齐成本 参考酒店：武陵源区域：神州界国际酒店(武陵源景区标志门东门店) 芙蓉镇：芙蓉镇花开丽景酒店凤凰古城：凤凰禧园园林江景度假酒店(凤凰县雨桥店)</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温馨提醒】1、部分游客会出现短暂等待现象，请客人积极与导游保持联系，务必保持手机通畅，开心旅游。2、交通类---进入景区以后，景点与景点之间全是用景区内的免费的环保车提供服务，并非一个团一个专车，而且一个团有可能不能坐同一辆环保车前往下一下景点，景区游人众多，请一定要在导游指定的地点汇合，不要走散，更不要将随身所带物品遗失在环保车上。3、穿着类--张家界以山为主，为方便在山区游览，请穿平跟鞋，建议不穿裙子自带雨具太阳帽等物品。4、安全类-景区内群猴众多，请不要近距离接近猴群，更不要去触摸山上的野生动物，以免发生伤害事件。5、核心景区如遇高峰期，环保车、电梯等会出现大面积排队情况，请配合导游的安排，尽量错开高峰期。6、如遇大雪或结冰等不可抗力因素，景区玻璃栈道封路，无法正常游览我社不予承担责任。  7、凤凰因交通管制，旅游车辆有时只能在指定位置停车，需步行入住酒店。8、2016年4月10日开始，凤凰古城取消围城强制购票，客人可在古城自由参观，如遇政府临时性政策，强制征收进入凤凰古城门票，客人须补买门票148元/人费用自理。 09、凤凰古城为敞开式民用商业区，特色商品导游义务介绍，旅游者购物行为为自主选择，旅行社不接受凤凰区域旅游者购物方面的投诉。10、返程请检查好个人物品，不要遗漏酒店。11、湘西为山区，酒店空调和热水定时开放，具体时间视气候和景区水库供水时间所定，请特别注意。12、散拼团有一定的特殊性，由于客人来的交通不一样，如遇航班、火车晚点，短时间的等待属于正常情况，由于客人原因造成未能赶到正常发班时间的，产生额外费用，客人自行承担。13、退费：此产品为打包报价，所有景点门票项目如客人不看不用，概不退费。任何人群均无任何优惠。14、中途均不允许客人以任何借口离团，若中途客人离团视同游客违约，用餐、房、车、机票等一切费用不退，旅行社亦不承担游客离团时发生意外的所有责任。15、请客人务必真实的填写导游质量服务跟踪恕不手里因虚假填写或不填写意见单而产生的后续争议和投诉，如在行程中对我们的服务及接待标准有异议，请在当地拨打质量监督电话在当地解决，如当地解决不了可在当地备案，否则我社不予受理，多谢合作与支持16、儿童、70岁以上游客必须有全程监护人陪同旅游，有不适病史需提前通报，自身病例或自己造成的人身意外游客本人负责，旅游途中请游客注意自己的人身和财产安全。17、因本社接待能力有限，恕无法接待年满80岁以上老人及孕妇。18、在湘西偏远地区，多数旅游景点山多岔路多，出行时不要随便单独外出，外出时应与导游咨询19、后再行动；着装以轻便为宜，近期天气变化无常，时有阵雨，须随时携带雨具；此行程坐车时间较长，且有些地区路况较差，常晕车者最好备相关药品;张家界、多数景点为特级禁烟区，抽烟前应询问导游及景区工作人员是否可以抽;不要随便在小摊上买东西，如不需要不要随便询价不要随便乱摸容易打碎的工艺品。20、如天气、堵车、排队原因等不可抗拒因素，地接导游在不影响行程的情况下有权调整行程内所含景点的游览先后顺序！21、请组团社将以上特别说明作为行程的合同附件给旅游者！因为这是该行程的重要说明！并请旅游者签字认可。22、根据湖南省张家界市和湘西州凤凰古城景区环保规定，为减少一次性用品浪费，保护世界自然遗产和历史文化名城的环境，两地所有酒店及民宿已全面停止提供一次性洗漱用品（包括牙刷、牙膏、梳子、剃须刀、浴帽等）。该政策自2019年起实施，是湖南省"守护青山绿水"环保行动的重要组成部分。您的理解与配合将直接助力于武陵源自然保护区和沱江流域的生态环境保护。23、接受此行程默认接受此行程明细中披露的所有内容条款，不接受此类投诉。</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王</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刘茵茵</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2026/9/7 11:30:52</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