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成都中旅-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马晴芳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15328070406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ZFS06GT250914A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私享张家界单地接6天5晚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5(4大1小)</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 xml:space="preserve">1、SHI  JIANBO </w:t>
            </w:r>
          </w:p>
        </w:tc>
        <w:tc>
          <w:tcPr>
            <w:tcW w:w="2310" w:type="dxa"/>
            <w:vAlign w:val="center"/>
            <w:gridSpan w:val="2"/>
          </w:tcPr>
          <w:p>
            <w:pPr/>
            <w:r>
              <w:rPr>
                <w:lang w:val="zh-CN"/>
                <w:rFonts w:ascii="Times New Roman" w:hAnsi="Times New Roman" w:cs="Times New Roman"/>
                <w:sz w:val="20"/>
                <w:szCs w:val="20"/>
                <w:color w:val="000000"/>
              </w:rPr>
              <w:t>PA9995431</w:t>
            </w:r>
          </w:p>
        </w:tc>
        <w:tc>
          <w:tcPr>
            <w:tcW w:w="2310" w:type="dxa"/>
            <w:vAlign w:val="center"/>
          </w:tcPr>
          <w:p>
            <w:pPr/>
            <w:r>
              <w:rPr>
                <w:lang w:val="zh-CN"/>
                <w:rFonts w:ascii="Times New Roman" w:hAnsi="Times New Roman" w:cs="Times New Roman"/>
                <w:sz w:val="20"/>
                <w:szCs w:val="20"/>
                <w:color w:val="000000"/>
              </w:rPr>
              <w:t>18659247076</w:t>
            </w:r>
          </w:p>
        </w:tc>
        <w:tc>
          <w:tcPr>
            <w:tcW w:w="2310" w:type="dxa"/>
            <w:vAlign w:val="center"/>
          </w:tcPr>
          <w:p>
            <w:pPr/>
            <w:r>
              <w:rPr>
                <w:lang w:val="zh-CN"/>
                <w:rFonts w:ascii="Times New Roman" w:hAnsi="Times New Roman" w:cs="Times New Roman"/>
                <w:sz w:val="20"/>
                <w:szCs w:val="20"/>
                <w:color w:val="000000"/>
              </w:rPr>
              <w:t>2、YU  YU</w:t>
            </w:r>
          </w:p>
        </w:tc>
        <w:tc>
          <w:tcPr>
            <w:tcW w:w="2310" w:type="dxa"/>
            <w:vAlign w:val="center"/>
            <w:gridSpan w:val="2"/>
          </w:tcPr>
          <w:p>
            <w:pPr/>
            <w:r>
              <w:rPr>
                <w:lang w:val="zh-CN"/>
                <w:rFonts w:ascii="Times New Roman" w:hAnsi="Times New Roman" w:cs="Times New Roman"/>
                <w:sz w:val="20"/>
                <w:szCs w:val="20"/>
                <w:color w:val="000000"/>
              </w:rPr>
              <w:t>PB5071580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 xml:space="preserve">3、卢一楠 </w:t>
            </w:r>
          </w:p>
        </w:tc>
        <w:tc>
          <w:tcPr>
            <w:tcW w:w="2310" w:type="dxa"/>
            <w:vAlign w:val="center"/>
            <w:gridSpan w:val="2"/>
          </w:tcPr>
          <w:p>
            <w:pPr/>
            <w:r>
              <w:rPr>
                <w:lang w:val="zh-CN"/>
                <w:rFonts w:ascii="Times New Roman" w:hAnsi="Times New Roman" w:cs="Times New Roman"/>
                <w:sz w:val="20"/>
                <w:szCs w:val="20"/>
                <w:color w:val="000000"/>
              </w:rPr>
              <w:t>21120220191025104X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 xml:space="preserve">4、YU  JING   </w:t>
            </w:r>
          </w:p>
        </w:tc>
        <w:tc>
          <w:tcPr>
            <w:tcW w:w="2310" w:type="dxa"/>
            <w:vAlign w:val="center"/>
            <w:gridSpan w:val="2"/>
          </w:tcPr>
          <w:p>
            <w:pPr/>
            <w:r>
              <w:rPr>
                <w:lang w:val="zh-CN"/>
                <w:rFonts w:ascii="Times New Roman" w:hAnsi="Times New Roman" w:cs="Times New Roman"/>
                <w:sz w:val="20"/>
                <w:szCs w:val="20"/>
                <w:color w:val="000000"/>
              </w:rPr>
              <w:t>RA1936409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 xml:space="preserve">5、GAO  YANNING </w:t>
            </w:r>
          </w:p>
        </w:tc>
        <w:tc>
          <w:tcPr>
            <w:tcW w:w="2310" w:type="dxa"/>
            <w:vAlign w:val="center"/>
            <w:gridSpan w:val="2"/>
          </w:tcPr>
          <w:p>
            <w:pPr/>
            <w:r>
              <w:rPr>
                <w:lang w:val="zh-CN"/>
                <w:rFonts w:ascii="Times New Roman" w:hAnsi="Times New Roman" w:cs="Times New Roman"/>
                <w:sz w:val="20"/>
                <w:szCs w:val="20"/>
                <w:color w:val="000000"/>
              </w:rPr>
              <w:t>PA6762138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2260.00</w:t>
            </w:r>
          </w:p>
        </w:tc>
        <w:tc>
          <w:tcPr>
            <w:tcW w:w="2310" w:type="dxa"/>
          </w:tcPr>
          <w:p>
            <w:pPr/>
            <w:r>
              <w:rPr>
                <w:lang w:val="zh-CN"/>
                <w:rFonts w:ascii="Times New Roman" w:hAnsi="Times New Roman" w:cs="Times New Roman"/>
                <w:sz w:val="20"/>
                <w:szCs w:val="20"/>
                <w:color w:val="000000"/>
              </w:rPr>
              <w:t>9040.00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980.00</w:t>
            </w:r>
          </w:p>
        </w:tc>
        <w:tc>
          <w:tcPr>
            <w:tcW w:w="2310" w:type="dxa"/>
          </w:tcPr>
          <w:p>
            <w:pPr/>
            <w:r>
              <w:rPr>
                <w:lang w:val="zh-CN"/>
                <w:rFonts w:ascii="Times New Roman" w:hAnsi="Times New Roman" w:cs="Times New Roman"/>
                <w:sz w:val="20"/>
                <w:szCs w:val="20"/>
                <w:color w:val="000000"/>
              </w:rPr>
              <w:t>980.00</w:t>
            </w:r>
          </w:p>
        </w:tc>
        <w:tc>
          <w:tcPr>
            <w:tcW w:w="2310" w:type="dxa"/>
            <w:gridSpan w:val="2"/>
          </w:tcPr>
          <w:p>
            <w:pPr/>
            <w:r>
              <w:rPr>
                <w:lang w:val="zh-CN"/>
                <w:rFonts w:ascii="Times New Roman" w:hAnsi="Times New Roman" w:cs="Times New Roman"/>
                <w:sz w:val="20"/>
                <w:szCs w:val="20"/>
                <w:color w:val="000000"/>
              </w:rPr>
              <w:t>酒店含早餐</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总金额：壹万零贰拾元整</w:t>
            </w:r>
          </w:p>
        </w:tc>
        <w:tc>
          <w:tcPr>
            <w:tcW w:w="2310" w:type="dxa"/>
            <w:textDirection w:val="right"/>
            <w:gridSpan w:val="3"/>
          </w:tcPr>
          <w:p>
            <w:pPr/>
            <w:r>
              <w:rPr>
                <w:lang w:val="zh-CN"/>
                <w:rFonts w:ascii="Times New Roman" w:hAnsi="Times New Roman" w:cs="Times New Roman"/>
                <w:b/>
                <w:color w:val="FF0000"/>
              </w:rPr>
              <w:t>10020.00</w:t>
            </w:r>
          </w:p>
        </w:tc>
      </w:tr>
      <w:tr>
        <w:tc>
          <w:tcPr>
            <w:tcW w:w="2310" w:type="dxa"/>
            <w:gridSpan w:val="8"/>
          </w:tcPr>
          <w:p>
            <w:pPr/>
            <w:r>
              <w:rPr>
                <w:lang w:val="zh-CN"/>
                <w:rFonts w:ascii="Times New Roman" w:hAnsi="Times New Roman" w:cs="Times New Roman"/>
                <w:sz w:val="20"/>
                <w:szCs w:val="20"/>
                <w:color w:val="000000"/>
              </w:rPr>
              <w:t>外宾</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各起始地→张家界全天接站 住(巴士)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各起始地乘交通工具抵达美丽的张家界，我社安排专门工作人员接站，送至酒店，并协助您办理相关手续，入住酒店休息。☆温馨提示：1、张家界机场/高铁到市区车程15分钟左右。2、如时间较充裕，可自行逛逛张家界的南门口、72奇楼、大庸古城等张家界土家文化较集中的地方，晚上就近可享受张家界美食，如梅干菜扣肉，土家三下锅、打鼓皮、小龙虾等。3、入住前请出示身份证并主动交纳房卡押金。4、接站当天无导游，导游将以电话或短信方式通知次日行程的出发时间及注意事项。</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张家界森林公园→黄石寨→金鞭溪→天子山（空中田园）</w:t>
            </w:r>
            <w:r>
              <w:rPr>
                <w:lang w:val="zh-CN"/>
                <w:rFonts w:ascii="Times New Roman" w:hAnsi="Times New Roman" w:cs="Times New Roman"/>
                <w:b/>
                <w:color w:val="000000"/>
              </w:rPr>
              <w:tab/>
            </w:r>
            <w:r>
              <w:rPr>
                <w:lang w:val="zh-CN"/>
                <w:rFonts w:ascii="Times New Roman" w:hAnsi="Times New Roman" w:cs="Times New Roman"/>
                <w:b/>
                <w:color w:val="000000"/>
              </w:rPr>
              <w:t>(巴士)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抵达【张家界国家森林公园】，游览素有“不上黄石寨、枉到张家界”之美誉的【黄石寨风景区】（索道往返已含），黄石寨五步称奇，七步叫绝；十步之外，目瞪口呆，著名景点:摘星台、五指峰、六奇阁等；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下午游览【天子山自然保护区】（单程索道已含），天子山位于张家界国家森林公园的北部，东临索溪峪景区，因其原始的自然风光而闻名，有各种造型奇异的地质景观和奇形山峰，如【御笔峰】、【仙女献花】等。雨过初晴的天子山云雾十分壮观，奔涌的云雾形态多样，波澜壮阔。【西海石林】为一盆地型峡谷峰林群。“海”内峰柱林立，千姿百态，林木葱茏茂密，有“峰海”“林海”之称,，【贺龙公园】为纪念元帅而建，坐落有元帅的铜像、元帅陈列馆等，供后人瞻仰这位伟大的元帅，了解元帅的生平事迹，缅怀革命先烈，喝水不忘挖井人！隐于镇，与初心久别重逢；归于院，让生活宁静自在......游览原始空中秘境【空中田园】山顶乘坐景区环保车抵达天子山镇，入住景区民宿！亲近大自然的怀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早餐：含；午餐：不含；晚餐：含；住宿：景区民宿</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二次进山深度游玩→袁家界→百龙电梯→十里画廊→魅力湘西(巴士)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如遇天气好，可前往山顶观景台欣赏日出奇观！日出时间根据季节不同，时间有所变化，具体以导游介绍为准；看日出需早起，自由参加）早餐后乘景区环保车二次进山，游览【袁家界核心景区】《阿凡达》外景拍摄地—哈利路亚山（约1.5小时，抵达潘多拉星球--电影《阿凡达》外景拍摄地——【哈利路亚山】，探寻影视阿凡达中群山漂浮、星罗棋布的玄幻莫测世界；【天下第一桥】云雾缭绕、峰峦叠嶂、气势磅礴，大小景点应接不暇，忘却归路，乘世界第一梯---百龙天梯下山（百龙电梯单程已含），下午游览【十里画廊景区】（景区配有代步观景小火车76元往返可供自愿选择）在这条长达十余里的山谷两侧，有着丰富的自然景观，人行其间如在画中。沟旁黛峰屏列，山上的岩石形成了200来尊似人似物、似鸟似兽的石景造型，其中"孔雀开屏"、"采药老人"、"寿星迎宾"、"猛虎啸天"“夫妻抱子”、“三姐妹峰”等最为著名。这里山势陡峭，峡谷幽深,奇峰异石突起,可谓步步有景，处处如画；晚间观看冯小刚导演、刘欢任音乐总监的【魅力湘西】（特别安排魅力湘西绿色通道，可提前进场不排队；普座赠送已含，不去不退，亦不做等价交换），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温馨提示：1、森林公园内景点与景点之间全是用景区内的环保车提供服务，并非一个团一个专车，而且一个团有可能不能坐同一辆环保车前往下一个景点，景区游人众多，请一定要在导游指定的地点汇合，不能走散，更不要将随身所带物品遗失在环保车上；旺季游人众多，排队情况时有发生，敬请谅解；2、景区内为野生猕猴栖息地，不招惹猴群，以防抓伤。张家界为山岳型景区，为方便在山区游览，请穿平跟鞋，建议不穿裙子，自带雨具、太阳帽、防蚊水等物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早餐：含；午餐：不含；晚餐：含；住宿：张家界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天门山国家森林公园→凤凰古城（七重水幕灯光秀）(巴士)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预约时间游览文学大师金庸欣然挥毫的“天门仙山”，也是黄渤、徐峥主演的电影《玩命邂逅》拍摄地之一的——【天门山】【双程扶梯和玻璃栈道鞋套已含】，体验和感受六大古迷之外的五大亮点：1、世界最长的客运索道2、世界八大恐怖栈道之一的鬼谷玻璃栈道3、观赏世界最高的空中花园4、世界最高的穿山溶洞5、世界第一的公路奇观通天大道，挑战你的高空极限......历史文化积淀深厚的天门山，一直被当地人民奉为神山、圣山，更被誉为“湘西第一神山”和“武陵之魂”的美誉。下午乘坐高铁或者商务车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温馨提示：1、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凤凰因交通管制，城区实行环保车接驳，旅游换乘车辆有时只能在指定位置停车，需步行入住酒店，大件行李可自主自费选择托运。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早餐：；午餐：不含；晚餐：含；住宿：凤凰古城 </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晨游凤凰古城（沈从文故居、万寿宫）→张家界入住酒店(巴士)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赠送乘船游览【沱江泛舟】（门票已含，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在凤凰古城的悠悠岁月里，有一处宛如明珠般闪耀的地方——沈从文故居，它静静地坐落在中营街10号，等待着每一位有缘人的到访。沈从文故居，不仅仅是一座古老的建筑，更是一座蕴含深厚的文化殿堂，它承载着沈从文先生的梦想与情怀，也承载着凤凰古城的历史与文化。万寿宫、万名塔、夺翠楼.....一种远离尘世的感觉悠然而生。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下午乘汽车返张家界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安排送站</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根据具体交通时间提前安排送站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早餐：；午餐：；晚餐：；住宿：温馨的家中</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景区门票：张家界国家森林公园、天门山国家森林公园、凤凰古城三景（沱江泛舟、沈从文故居、万寿宫）景区交通：黄石寨索道往返、天子山索道单程、百龙电梯单程、天门山扶梯双程、玻璃栈道鞋套、凤凰古城接驳车、空中田园电瓶车行程所列景点首道门票及景交为旅行社打包协议价无任何优免退费；住 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张家界网评五钻同级，景区+凤凰古城高端特色客栈：不含单房差400元/人张家界：华天大酒店、蓝湾博格大酒店、阳光酒店、碧桂园凤凰楼、云居酒店凤凰：天下凤凰、凤璟、锦凌绣、澜庭忆宿、念楃、观山月等同级景区名宿：云上客栈画说武陵客栈、溪涧小憩客或同级张家界网评四钻同级，景区+凤凰古城特色客栈：不含单房差600元/人张家界：碧桂园紫金花舍、裕禾山居、梦途酒店、晨晟洒店、楚山公馆等同级凤凰：忆凤凰美宿、君尚、芭提雅、融晟、梧桐别院等同级级景区名宿：云上客栈画说武陵客栈、溪涧小憩客或同级特别注意：指定酒店如遇特殊情况：政府重大活动、大型会议或房满等，我社有权另行安排同级别酒店入住。另湖南实行环保节能减排政策，很多酒店不提供一次性用品，请客人自备洗漱用品！用 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酒店含早3正餐，正餐30元/人/餐，升级特色餐：土家三下锅（10人一桌9菜1汤；不足10人，保证一人一个菜）正餐不用不退费亦不作等价交换！酒店房费含早餐，无床位者无早餐；行程用车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行程安排5-14座豪华商务车，长距离用车根据成团人数灵活安排商务车或高铁动车出行大交通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无导 游</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全程金牌持证导游服务，接送站工作人员安排；孩童价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年龄14岁以下孩童仅含当地（导服+车位+正餐半餐）（不含门票、床位、早餐、往返的大交通票）因超身高1.2米以上按实际产生现补给导游；保 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退费标准：本产品为打包产品持有军官证、残疾证或老年证，学生证等有效证件的客人群体无任何退费。故任何人群无优惠无退费，接受此行程视为接受此约。</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无</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注意事项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1、请游客带好有效身份证原件：16周岁以上需带好二代身份证，16岁以下儿童带好有效户口本原件登机（团体机票一经开出，不得签转、更改、退票，如出现退票情况只退机建费）2、20周岁以下、70岁以上的老年人必须有全程监护人陪同旅游，有不适病史须提前通报，自身病史或自己造成的人身意外游客本人负全责。旅游途中请游客注意自己的人身和财产安全！3、因人力不可抗拒因素（自然灾害、交通状况、政府行为等）影响行程，我社可以作出行程调整，尽力确保行程的顺利进行。实在导致无法按照约定的计划执行的，因变更而超出的费用由旅游者承担。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11、禁止游客携带易燃易爆危险品乘坐公共交通或参加旅游团随行！</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马晴芳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17:11:33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