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玉溪滇中王韶仙</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王韶仙</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13987709396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蒋依诺</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13648871724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BH-CGT20251019B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10-19京彩江南-北京/天津/华东五市双飞10日游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2025-10-19</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2025-10-28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18(18大)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2025-10-19 CZ8756 昆明→上海 20:20-23:30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2025-10-28 CZ6159 北京→昆明 15:05-19:0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1、贺桂芝</w:t>
            </w:r>
          </w:p>
        </w:tc>
        <w:tc>
          <w:tcPr>
            <w:tcW w:w="2310" w:type="dxa"/>
            <w:vAlign w:val="center"/>
            <w:gridSpan w:val="2"/>
          </w:tcPr>
          <w:p>
            <w:pPr/>
            <w:r>
              <w:rPr>
                <w:lang w:val="zh-CN"/>
                <w:rFonts w:ascii="Times New Roman" w:hAnsi="Times New Roman" w:cs="Times New Roman"/>
                <w:sz w:val="20"/>
                <w:szCs w:val="20"/>
                <w:color w:val="000000"/>
              </w:rPr>
              <w:t>532426195206150527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2、王连芬</w:t>
            </w:r>
          </w:p>
        </w:tc>
        <w:tc>
          <w:tcPr>
            <w:tcW w:w="2310" w:type="dxa"/>
            <w:vAlign w:val="center"/>
            <w:gridSpan w:val="2"/>
          </w:tcPr>
          <w:p>
            <w:pPr/>
            <w:r>
              <w:rPr>
                <w:lang w:val="zh-CN"/>
                <w:rFonts w:ascii="Times New Roman" w:hAnsi="Times New Roman" w:cs="Times New Roman"/>
                <w:sz w:val="20"/>
                <w:szCs w:val="20"/>
                <w:color w:val="000000"/>
              </w:rPr>
              <w:t>532426196604280524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3、李连芬</w:t>
            </w:r>
          </w:p>
        </w:tc>
        <w:tc>
          <w:tcPr>
            <w:tcW w:w="2310" w:type="dxa"/>
            <w:vAlign w:val="center"/>
            <w:gridSpan w:val="2"/>
          </w:tcPr>
          <w:p>
            <w:pPr/>
            <w:r>
              <w:rPr>
                <w:lang w:val="zh-CN"/>
                <w:rFonts w:ascii="Times New Roman" w:hAnsi="Times New Roman" w:cs="Times New Roman"/>
                <w:sz w:val="20"/>
                <w:szCs w:val="20"/>
                <w:color w:val="000000"/>
              </w:rPr>
              <w:t>532426195704200523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4、樊桂珍</w:t>
            </w:r>
          </w:p>
        </w:tc>
        <w:tc>
          <w:tcPr>
            <w:tcW w:w="2310" w:type="dxa"/>
            <w:vAlign w:val="center"/>
            <w:gridSpan w:val="2"/>
          </w:tcPr>
          <w:p>
            <w:pPr/>
            <w:r>
              <w:rPr>
                <w:lang w:val="zh-CN"/>
                <w:rFonts w:ascii="Times New Roman" w:hAnsi="Times New Roman" w:cs="Times New Roman"/>
                <w:sz w:val="20"/>
                <w:szCs w:val="20"/>
                <w:color w:val="000000"/>
              </w:rPr>
              <w:t>532426195407290526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5、田兆金</w:t>
            </w:r>
          </w:p>
        </w:tc>
        <w:tc>
          <w:tcPr>
            <w:tcW w:w="2310" w:type="dxa"/>
            <w:vAlign w:val="center"/>
            <w:gridSpan w:val="2"/>
          </w:tcPr>
          <w:p>
            <w:pPr/>
            <w:r>
              <w:rPr>
                <w:lang w:val="zh-CN"/>
                <w:rFonts w:ascii="Times New Roman" w:hAnsi="Times New Roman" w:cs="Times New Roman"/>
                <w:sz w:val="20"/>
                <w:szCs w:val="20"/>
                <w:color w:val="000000"/>
              </w:rPr>
              <w:t>53242619550701051X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6、田兆仙</w:t>
            </w:r>
          </w:p>
        </w:tc>
        <w:tc>
          <w:tcPr>
            <w:tcW w:w="2310" w:type="dxa"/>
            <w:vAlign w:val="center"/>
            <w:gridSpan w:val="2"/>
          </w:tcPr>
          <w:p>
            <w:pPr/>
            <w:r>
              <w:rPr>
                <w:lang w:val="zh-CN"/>
                <w:rFonts w:ascii="Times New Roman" w:hAnsi="Times New Roman" w:cs="Times New Roman"/>
                <w:sz w:val="20"/>
                <w:szCs w:val="20"/>
                <w:color w:val="000000"/>
              </w:rPr>
              <w:t>532426195210010527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7、田菊兰</w:t>
            </w:r>
          </w:p>
        </w:tc>
        <w:tc>
          <w:tcPr>
            <w:tcW w:w="2310" w:type="dxa"/>
            <w:vAlign w:val="center"/>
            <w:gridSpan w:val="2"/>
          </w:tcPr>
          <w:p>
            <w:pPr/>
            <w:r>
              <w:rPr>
                <w:lang w:val="zh-CN"/>
                <w:rFonts w:ascii="Times New Roman" w:hAnsi="Times New Roman" w:cs="Times New Roman"/>
                <w:sz w:val="20"/>
                <w:szCs w:val="20"/>
                <w:color w:val="000000"/>
              </w:rPr>
              <w:t>532426196708180528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8、谭文兴</w:t>
            </w:r>
          </w:p>
        </w:tc>
        <w:tc>
          <w:tcPr>
            <w:tcW w:w="2310" w:type="dxa"/>
            <w:vAlign w:val="center"/>
            <w:gridSpan w:val="2"/>
          </w:tcPr>
          <w:p>
            <w:pPr/>
            <w:r>
              <w:rPr>
                <w:lang w:val="zh-CN"/>
                <w:rFonts w:ascii="Times New Roman" w:hAnsi="Times New Roman" w:cs="Times New Roman"/>
                <w:sz w:val="20"/>
                <w:szCs w:val="20"/>
                <w:color w:val="000000"/>
              </w:rPr>
              <w:t>532426195704200515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9、田翠仙</w:t>
            </w:r>
          </w:p>
        </w:tc>
        <w:tc>
          <w:tcPr>
            <w:tcW w:w="2310" w:type="dxa"/>
            <w:vAlign w:val="center"/>
            <w:gridSpan w:val="2"/>
          </w:tcPr>
          <w:p>
            <w:pPr/>
            <w:r>
              <w:rPr>
                <w:lang w:val="zh-CN"/>
                <w:rFonts w:ascii="Times New Roman" w:hAnsi="Times New Roman" w:cs="Times New Roman"/>
                <w:sz w:val="20"/>
                <w:szCs w:val="20"/>
                <w:color w:val="000000"/>
              </w:rPr>
              <w:t>530181195706050449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10、田加连</w:t>
            </w:r>
          </w:p>
        </w:tc>
        <w:tc>
          <w:tcPr>
            <w:tcW w:w="2310" w:type="dxa"/>
            <w:vAlign w:val="center"/>
            <w:gridSpan w:val="2"/>
          </w:tcPr>
          <w:p>
            <w:pPr/>
            <w:r>
              <w:rPr>
                <w:lang w:val="zh-CN"/>
                <w:rFonts w:ascii="Times New Roman" w:hAnsi="Times New Roman" w:cs="Times New Roman"/>
                <w:sz w:val="20"/>
                <w:szCs w:val="20"/>
                <w:color w:val="000000"/>
              </w:rPr>
              <w:t>532426195601190529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11、杨永萍</w:t>
            </w:r>
          </w:p>
        </w:tc>
        <w:tc>
          <w:tcPr>
            <w:tcW w:w="2310" w:type="dxa"/>
            <w:vAlign w:val="center"/>
            <w:gridSpan w:val="2"/>
          </w:tcPr>
          <w:p>
            <w:pPr/>
            <w:r>
              <w:rPr>
                <w:lang w:val="zh-CN"/>
                <w:rFonts w:ascii="Times New Roman" w:hAnsi="Times New Roman" w:cs="Times New Roman"/>
                <w:sz w:val="20"/>
                <w:szCs w:val="20"/>
                <w:color w:val="000000"/>
              </w:rPr>
              <w:t>532426196705110524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12、孙桂荣</w:t>
            </w:r>
          </w:p>
        </w:tc>
        <w:tc>
          <w:tcPr>
            <w:tcW w:w="2310" w:type="dxa"/>
            <w:vAlign w:val="center"/>
            <w:gridSpan w:val="2"/>
          </w:tcPr>
          <w:p>
            <w:pPr/>
            <w:r>
              <w:rPr>
                <w:lang w:val="zh-CN"/>
                <w:rFonts w:ascii="Times New Roman" w:hAnsi="Times New Roman" w:cs="Times New Roman"/>
                <w:sz w:val="20"/>
                <w:szCs w:val="20"/>
                <w:color w:val="000000"/>
              </w:rPr>
              <w:t>532426195009050017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13、马长芝</w:t>
            </w:r>
          </w:p>
        </w:tc>
        <w:tc>
          <w:tcPr>
            <w:tcW w:w="2310" w:type="dxa"/>
            <w:vAlign w:val="center"/>
            <w:gridSpan w:val="2"/>
          </w:tcPr>
          <w:p>
            <w:pPr/>
            <w:r>
              <w:rPr>
                <w:lang w:val="zh-CN"/>
                <w:rFonts w:ascii="Times New Roman" w:hAnsi="Times New Roman" w:cs="Times New Roman"/>
                <w:sz w:val="20"/>
                <w:szCs w:val="20"/>
                <w:color w:val="000000"/>
              </w:rPr>
              <w:t>532426195107290022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14、谭翠兰</w:t>
            </w:r>
          </w:p>
        </w:tc>
        <w:tc>
          <w:tcPr>
            <w:tcW w:w="2310" w:type="dxa"/>
            <w:vAlign w:val="center"/>
            <w:gridSpan w:val="2"/>
          </w:tcPr>
          <w:p>
            <w:pPr/>
            <w:r>
              <w:rPr>
                <w:lang w:val="zh-CN"/>
                <w:rFonts w:ascii="Times New Roman" w:hAnsi="Times New Roman" w:cs="Times New Roman"/>
                <w:sz w:val="20"/>
                <w:szCs w:val="20"/>
                <w:color w:val="000000"/>
              </w:rPr>
              <w:t>532426196005240520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15、杨怀堂</w:t>
            </w:r>
          </w:p>
        </w:tc>
        <w:tc>
          <w:tcPr>
            <w:tcW w:w="2310" w:type="dxa"/>
            <w:vAlign w:val="center"/>
            <w:gridSpan w:val="2"/>
          </w:tcPr>
          <w:p>
            <w:pPr/>
            <w:r>
              <w:rPr>
                <w:lang w:val="zh-CN"/>
                <w:rFonts w:ascii="Times New Roman" w:hAnsi="Times New Roman" w:cs="Times New Roman"/>
                <w:sz w:val="20"/>
                <w:szCs w:val="20"/>
                <w:color w:val="000000"/>
              </w:rPr>
              <w:t>532426195712310511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16、樊桂萍</w:t>
            </w:r>
          </w:p>
        </w:tc>
        <w:tc>
          <w:tcPr>
            <w:tcW w:w="2310" w:type="dxa"/>
            <w:vAlign w:val="center"/>
            <w:gridSpan w:val="2"/>
          </w:tcPr>
          <w:p>
            <w:pPr/>
            <w:r>
              <w:rPr>
                <w:lang w:val="zh-CN"/>
                <w:rFonts w:ascii="Times New Roman" w:hAnsi="Times New Roman" w:cs="Times New Roman"/>
                <w:sz w:val="20"/>
                <w:szCs w:val="20"/>
                <w:color w:val="000000"/>
              </w:rPr>
              <w:t>530181196509100480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17、李兰英</w:t>
            </w:r>
          </w:p>
        </w:tc>
        <w:tc>
          <w:tcPr>
            <w:tcW w:w="2310" w:type="dxa"/>
            <w:vAlign w:val="center"/>
            <w:gridSpan w:val="2"/>
          </w:tcPr>
          <w:p>
            <w:pPr/>
            <w:r>
              <w:rPr>
                <w:lang w:val="zh-CN"/>
                <w:rFonts w:ascii="Times New Roman" w:hAnsi="Times New Roman" w:cs="Times New Roman"/>
                <w:sz w:val="20"/>
                <w:szCs w:val="20"/>
                <w:color w:val="000000"/>
              </w:rPr>
              <w:t>53242619510818052X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18、田兆喜</w:t>
            </w:r>
          </w:p>
        </w:tc>
        <w:tc>
          <w:tcPr>
            <w:tcW w:w="2310" w:type="dxa"/>
            <w:vAlign w:val="center"/>
            <w:gridSpan w:val="2"/>
          </w:tcPr>
          <w:p>
            <w:pPr/>
            <w:r>
              <w:rPr>
                <w:lang w:val="zh-CN"/>
                <w:rFonts w:ascii="Times New Roman" w:hAnsi="Times New Roman" w:cs="Times New Roman"/>
                <w:sz w:val="20"/>
                <w:szCs w:val="20"/>
                <w:color w:val="000000"/>
              </w:rPr>
              <w:t>532426194807010517</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18</w:t>
            </w:r>
          </w:p>
        </w:tc>
        <w:tc>
          <w:tcPr>
            <w:tcW w:w="2310" w:type="dxa"/>
          </w:tcPr>
          <w:p>
            <w:pPr/>
            <w:r>
              <w:rPr>
                <w:lang w:val="zh-CN"/>
                <w:rFonts w:ascii="Times New Roman" w:hAnsi="Times New Roman" w:cs="Times New Roman"/>
                <w:sz w:val="20"/>
                <w:szCs w:val="20"/>
                <w:color w:val="000000"/>
              </w:rPr>
              <w:t>2580.00</w:t>
            </w:r>
          </w:p>
        </w:tc>
        <w:tc>
          <w:tcPr>
            <w:tcW w:w="2310" w:type="dxa"/>
          </w:tcPr>
          <w:p>
            <w:pPr/>
            <w:r>
              <w:rPr>
                <w:lang w:val="zh-CN"/>
                <w:rFonts w:ascii="Times New Roman" w:hAnsi="Times New Roman" w:cs="Times New Roman"/>
                <w:sz w:val="20"/>
                <w:szCs w:val="20"/>
                <w:color w:val="000000"/>
              </w:rPr>
              <w:t>46440.00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导服</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-1000.00</w:t>
            </w:r>
          </w:p>
        </w:tc>
        <w:tc>
          <w:tcPr>
            <w:tcW w:w="2310" w:type="dxa"/>
          </w:tcPr>
          <w:p>
            <w:pPr/>
            <w:r>
              <w:rPr>
                <w:lang w:val="zh-CN"/>
                <w:rFonts w:ascii="Times New Roman" w:hAnsi="Times New Roman" w:cs="Times New Roman"/>
                <w:sz w:val="20"/>
                <w:szCs w:val="20"/>
                <w:color w:val="000000"/>
              </w:rPr>
              <w:t>-1000.00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火车票款退款</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837.00</w:t>
            </w:r>
          </w:p>
        </w:tc>
        <w:tc>
          <w:tcPr>
            <w:tcW w:w="2310" w:type="dxa"/>
          </w:tcPr>
          <w:p>
            <w:pPr/>
            <w:r>
              <w:rPr>
                <w:lang w:val="zh-CN"/>
                <w:rFonts w:ascii="Times New Roman" w:hAnsi="Times New Roman" w:cs="Times New Roman"/>
                <w:sz w:val="20"/>
                <w:szCs w:val="20"/>
                <w:color w:val="000000"/>
              </w:rPr>
              <w:t>837.00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总金额：肆万陆仟贰佰柒拾柒元整</w:t>
            </w:r>
          </w:p>
        </w:tc>
        <w:tc>
          <w:tcPr>
            <w:tcW w:w="2310" w:type="dxa"/>
            <w:textDirection w:val="right"/>
            <w:gridSpan w:val="3"/>
          </w:tcPr>
          <w:p>
            <w:pPr/>
            <w:r>
              <w:rPr>
                <w:lang w:val="zh-CN"/>
                <w:rFonts w:ascii="Times New Roman" w:hAnsi="Times New Roman" w:cs="Times New Roman"/>
                <w:b/>
                <w:color w:val="FF0000"/>
              </w:rPr>
              <w:t>46277.00</w:t>
            </w:r>
          </w:p>
        </w:tc>
      </w:tr>
      <w:tr>
        <w:tc>
          <w:tcPr>
            <w:tcW w:w="2310" w:type="dxa"/>
            <w:gridSpan w:val="8"/>
          </w:tcPr>
          <w:p>
            <w:pPr/>
            <w:r>
              <w:rPr>
                <w:lang w:val="zh-CN"/>
                <w:rFonts w:ascii="Times New Roman" w:hAnsi="Times New Roman" w:cs="Times New Roman"/>
                <w:sz w:val="20"/>
                <w:szCs w:val="20"/>
                <w:color w:val="000000"/>
              </w:rPr>
              <w:t>用自己的合同保险</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2025/10/19</w:t>
            </w:r>
          </w:p>
        </w:tc>
        <w:tc>
          <w:tcPr>
            <w:tcW w:w="2310" w:type="dxa"/>
            <w:gridSpan w:val="7"/>
          </w:tcPr>
          <w:p>
            <w:pPr/>
            <w:r>
              <w:rPr>
                <w:lang w:val="zh-CN"/>
                <w:rFonts w:ascii="Times New Roman" w:hAnsi="Times New Roman" w:cs="Times New Roman"/>
                <w:b/>
                <w:color w:val="000000"/>
              </w:rPr>
              <w:t>各地—上海(飞机)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昆明集合出发，飞机前往上海。我社师傅导游接站后入住酒店。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早餐：不含；午餐：不含；晚餐：不含；住宿：上海</w:t>
            </w:r>
          </w:p>
        </w:tc>
      </w:tr>
      <w:tr>
        <w:tc>
          <w:tcPr>
            <w:tcW w:w="2310" w:type="dxa"/>
            <w:vAlign w:val="center"/>
            <w:vMerge w:val="restart"/>
          </w:tcPr>
          <w:p>
            <w:pPr/>
            <w:r>
              <w:rPr>
                <w:lang w:val="zh-CN"/>
                <w:rFonts w:ascii="Times New Roman" w:hAnsi="Times New Roman" w:cs="Times New Roman"/>
                <w:sz w:val="20"/>
                <w:szCs w:val="20"/>
                <w:color w:val="000000"/>
              </w:rPr>
              <w:t>2025/10/20</w:t>
            </w:r>
          </w:p>
        </w:tc>
        <w:tc>
          <w:tcPr>
            <w:tcW w:w="2310" w:type="dxa"/>
            <w:gridSpan w:val="7"/>
          </w:tcPr>
          <w:p>
            <w:pPr/>
            <w:r>
              <w:rPr>
                <w:lang w:val="zh-CN"/>
                <w:rFonts w:ascii="Times New Roman" w:hAnsi="Times New Roman" w:cs="Times New Roman"/>
                <w:b/>
                <w:color w:val="000000"/>
              </w:rPr>
              <w:t>四行仓库—城隍庙商城—南京路步行街/外滩(汽车)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四行仓库】电影《八百》拍摄地，1937年8月13日，淞沪战役爆发。中日双方几十万大军拼死搏斗两个多月，到10月底，国军撤离上海，仅留下一支坚持最后抵抗的部队。1937年10月26日至30日，国民党政府军第八十八师二五四团第一营的全体官兵掩护大部队撤退后，为保住闸北的最后一块阵地，奉命进入四行仓库，与日军血战四天四夜，击退敌人多次进攻，威震敌胆，誉满中外，被誉为"八百壮士"。游览豫园商城【城隍庙商城】。游中华商业第一街【南京路步行街】、【外滩】可以东方明珠电视塔、金茂大厦为背景拍照留念。</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早餐：含；午餐：含；晚餐：含；住宿：上海</w:t>
            </w:r>
          </w:p>
        </w:tc>
      </w:tr>
      <w:tr>
        <w:tc>
          <w:tcPr>
            <w:tcW w:w="2310" w:type="dxa"/>
            <w:vAlign w:val="center"/>
            <w:vMerge w:val="restart"/>
          </w:tcPr>
          <w:p>
            <w:pPr/>
            <w:r>
              <w:rPr>
                <w:lang w:val="zh-CN"/>
                <w:rFonts w:ascii="Times New Roman" w:hAnsi="Times New Roman" w:cs="Times New Roman"/>
                <w:sz w:val="20"/>
                <w:szCs w:val="20"/>
                <w:color w:val="000000"/>
              </w:rPr>
              <w:t>2025/10/21</w:t>
            </w:r>
          </w:p>
        </w:tc>
        <w:tc>
          <w:tcPr>
            <w:tcW w:w="2310" w:type="dxa"/>
            <w:gridSpan w:val="7"/>
          </w:tcPr>
          <w:p>
            <w:pPr/>
            <w:r>
              <w:rPr>
                <w:lang w:val="zh-CN"/>
                <w:rFonts w:ascii="Times New Roman" w:hAnsi="Times New Roman" w:cs="Times New Roman"/>
                <w:b/>
                <w:color w:val="000000"/>
              </w:rPr>
              <w:t>丝绸博物馆—乌镇-船游西湖—杭州奥体中心体育馆(汽车)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丝绸博物馆】约60分钟，是一家集丝绸文化为一体，大型综合性博物馆（备注：此景点内有购物场所，如需要请谨慎购买并索要发票）。游览江南水乡【乌镇】电影《似水年华》拍摄地，蓝印花布作坊，江南百床馆，江南百币馆等，乘车至上海（游览约2小时），。乘车前往杭州，享用乾隆御茶宴。中餐后，【船游西湖】漫步苏堤、参观西湖十景之一【花港观鱼】。江南最大的湿地公园【西溪湿地二期，不含往返电瓶车】：公共开放区域，是罕见的城中次生湿地。曾与西湖、西泠并称杭州“三西”，是目前国内第一个也是唯一的集城市湿地、农耕湿地、文化湿地于一体的国家湿地公园，具有“杭州之肾”和“副西湖”美誉。外观【杭州奥体中心体育馆】。西湖风景区涉及黄金周、节假日、周末，旅游旺季，实行交通管制，小车，大巴车均禁止进入，客人需要换乘景区公交车，交通方式自理：①普通公交车，市民游客混座往返10元/人；②一站式接驳车：单程：20元/人；③包车服务：500元/趟，最大限乘50个人，具体当天以景区安排为准，敬请谅解。凡是团队涉及小交通费用的，我社免费赠送普通公交车往返，如客人有更高需求敬请自理，赠送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w:t>
            </w:r>
          </w:p>
        </w:tc>
      </w:tr>
      <w:tr>
        <w:tc>
          <w:tcPr>
            <w:tcW w:w="2310" w:type="dxa"/>
            <w:vAlign w:val="center"/>
            <w:vMerge w:val="restart"/>
          </w:tcPr>
          <w:p>
            <w:pPr/>
            <w:r>
              <w:rPr>
                <w:lang w:val="zh-CN"/>
                <w:rFonts w:ascii="Times New Roman" w:hAnsi="Times New Roman" w:cs="Times New Roman"/>
                <w:sz w:val="20"/>
                <w:szCs w:val="20"/>
                <w:color w:val="000000"/>
              </w:rPr>
              <w:t>2025/10/22</w:t>
            </w:r>
          </w:p>
        </w:tc>
        <w:tc>
          <w:tcPr>
            <w:tcW w:w="2310" w:type="dxa"/>
            <w:gridSpan w:val="7"/>
          </w:tcPr>
          <w:p>
            <w:pPr/>
            <w:r>
              <w:rPr>
                <w:lang w:val="zh-CN"/>
                <w:rFonts w:ascii="Times New Roman" w:hAnsi="Times New Roman" w:cs="Times New Roman"/>
                <w:b/>
                <w:color w:val="000000"/>
              </w:rPr>
              <w:t>同里古镇—退思园—枫桥景区(汽车)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珍珠博物馆】中国首家淡水珍珠研究院，建筑设计和室内装修均采用苏州园林风格设计，与苏州古典建筑风貌一脉相承，恰如其分地把珍珠的古典美、自然美、科技美在有限的空间中淋漓尽致地表现了出来，是名副其实的科教文化旅游胜地。（备注：此景点内有购物场所，如需要请谨慎购买并索要发票）。游【退思园+同里古镇】同里古镇属于江苏省苏州市吴江区，宋代建镇。镇区内始建于明清两代的花园、寺观、宅第和名人故居众多，“川”字形的15条小河把古镇区分隔成七个小岛，而49座古桥又将其连成一体，以“小桥、流水、人家”著称；退思园占地面积5674平方米，横向布局，从西向东依次是住宅、庭院、花园。住宅由门厅、茶厅、正厅及家人居住的两幢小楼组成。中部庭院是住宅和花园之间的自然过渡，主要是用来作待客之用。庭院是以回廊围合而成，院南建有迎宾馆、岁寒居，做主人会客、宴客之处；院北建有坐春望月楼，是供客人居住。院内有旱船和花木小景，院东有月洞门通往花园。退思园是小型园林的典范在有限的地域和空间内，为现代人提供了一个天然博物馆。听苏州评弹，乘摇撸小船，赏黄石假山、冠云峰等。游苏州【枫桥景区】著名唐诗《枫桥夜泊》诞生地，了解苏州从枫桥开始，枫桥夜泊千古传唱，大运河感叹古城兴衰，江村桥、铁岭关、大运河、枫桥古镇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早餐：含；午餐：含；晚餐：含；住宿：苏州</w:t>
            </w:r>
          </w:p>
        </w:tc>
      </w:tr>
      <w:tr>
        <w:tc>
          <w:tcPr>
            <w:tcW w:w="2310" w:type="dxa"/>
            <w:vAlign w:val="center"/>
            <w:vMerge w:val="restart"/>
          </w:tcPr>
          <w:p>
            <w:pPr/>
            <w:r>
              <w:rPr>
                <w:lang w:val="zh-CN"/>
                <w:rFonts w:ascii="Times New Roman" w:hAnsi="Times New Roman" w:cs="Times New Roman"/>
                <w:sz w:val="20"/>
                <w:szCs w:val="20"/>
                <w:color w:val="000000"/>
              </w:rPr>
              <w:t>2025/10/23</w:t>
            </w:r>
          </w:p>
        </w:tc>
        <w:tc>
          <w:tcPr>
            <w:tcW w:w="2310" w:type="dxa"/>
            <w:gridSpan w:val="7"/>
          </w:tcPr>
          <w:p>
            <w:pPr/>
            <w:r>
              <w:rPr>
                <w:lang w:val="zh-CN"/>
                <w:rFonts w:ascii="Times New Roman" w:hAnsi="Times New Roman" w:cs="Times New Roman"/>
                <w:b/>
                <w:color w:val="000000"/>
              </w:rPr>
              <w:t>珍珠博物馆—三国城—中山陵—夫子庙—乌衣巷—火车北京(火车)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后车赴无锡游览影视基地【三国城】(乘仿古战船畅游太湖)；为拍摄《三国演义》而兴建的大型影视文化景区，“刘备招亲”、“火烧赤壁”、“横槊赋诗”、“草船借箭”、“借东风”、“诸葛吊孝”、“舌战群儒”等十多集的重场戏均在此拍摄；车赴南京，游览【中山陵】位于南京市玄武区紫金山南麓钟山风景名胜区内，是中国近代伟大的民主革命先行者孙中山先生的陵寝及其附属纪念建筑群，陵寝面积8万余平方米，于1926年春动工，至1929年夏建成。1、如遇中山陵周一闭馆，只能游览景区前半段请谅解。2、中山陵实行实名制预约，如未预约成功，则取消参观或替换其他景点。后游集南京六朝文化和民俗市肆文化于一身的【秦淮河】【夫子庙】（游览时间约1.5小时），秦淮河风光带，游文德桥，乌衣巷，神州第一大照壁，感受“十里秦淮千年流淌，六朝胜地今更辉煌”，自费品尝南京小吃如：鸭血粉丝、赤豆元宵、鸭油烧饼，盐水鸭蜜汁藕等。根据火车时间，乘坐硬卧前往北京！</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早餐：含；午餐：含；晚餐：含；住宿：火车上</w:t>
            </w:r>
          </w:p>
        </w:tc>
      </w:tr>
      <w:tr>
        <w:tc>
          <w:tcPr>
            <w:tcW w:w="2310" w:type="dxa"/>
            <w:vAlign w:val="center"/>
            <w:vMerge w:val="restart"/>
          </w:tcPr>
          <w:p>
            <w:pPr/>
            <w:r>
              <w:rPr>
                <w:lang w:val="zh-CN"/>
                <w:rFonts w:ascii="Times New Roman" w:hAnsi="Times New Roman" w:cs="Times New Roman"/>
                <w:sz w:val="20"/>
                <w:szCs w:val="20"/>
                <w:color w:val="000000"/>
              </w:rPr>
              <w:t>2025/10/24</w:t>
            </w:r>
          </w:p>
        </w:tc>
        <w:tc>
          <w:tcPr>
            <w:tcW w:w="2310" w:type="dxa"/>
            <w:gridSpan w:val="7"/>
          </w:tcPr>
          <w:p>
            <w:pPr/>
            <w:r>
              <w:rPr>
                <w:lang w:val="zh-CN"/>
                <w:rFonts w:ascii="Times New Roman" w:hAnsi="Times New Roman" w:cs="Times New Roman"/>
                <w:b/>
                <w:color w:val="000000"/>
              </w:rPr>
              <w:t>颐和园—天坛—前门大街(汽车)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抵北京接火车后，游览世界上保存最完整的皇家园林【颐和园】晚清时期作为慈禧太后的颐养之地，参观被列入吉尼斯世界纪录的“世界上最长长廊”以及精美的苏式彩绘，欣赏碧波荡漾的昆明湖和“万寿无疆”的万寿山。【天坛公园含通票】世界上最大的皇家祭祀建筑群，在北京市南部，东城区永定门内大街东侧。为明、清两代帝王祭祀皇天、祈五谷丰登之场所。主要建筑在内坛，圜丘坛在南、祈谷坛在北，二坛同在一条南北轴线上，中间有墙相隔。前往游览【前门大街】是北京著名商业街。位于京城中轴线，北起前门月亮湾，南至天桥路口，与天桥南大街相连。明嘉靖二十九年（1550）建外城前是皇帝出城赴天坛、山川坛的御路，建外城后为外城主要南北街道。</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2025/10/25</w:t>
            </w:r>
          </w:p>
        </w:tc>
        <w:tc>
          <w:tcPr>
            <w:tcW w:w="2310" w:type="dxa"/>
            <w:gridSpan w:val="7"/>
          </w:tcPr>
          <w:p>
            <w:pPr/>
            <w:r>
              <w:rPr>
                <w:lang w:val="zh-CN"/>
                <w:rFonts w:ascii="Times New Roman" w:hAnsi="Times New Roman" w:cs="Times New Roman"/>
                <w:b/>
                <w:color w:val="000000"/>
              </w:rPr>
              <w:t>天安门广场—毛主席纪念堂—故宫—景山公园(汽车)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世界上最大的城市中心广场【天安门广场】，瞻仰人民英雄纪念碑，庄严肃穆的【毛主席纪念堂】（此景点例行闭馆时在外参观）。游览世界上五大宫殿之首【故宫博物院】（特别赠送游览慈宁宫，孝庄太后及甑嬛（熹妃）居所，感受后妃生活。若政策性关闭，则为外观。（赠送景点，不去不退费用）。游览【景山公园】景山公园内古树参天，山峰独秀，殿宇巍峨，牡丹品种繁多，文化活动丰富。山上五亭横列，中峰万春亭坐落于北京城中轴线制高点，尽享天时地利，登临其上，可俯瞰故宫全景，一览京城轴线，领略整齐对称的布局神韵，品读气势恢宏的宫廷建筑。【温馨提示】1、故宫博物院每周一全天闭馆，为保证所参团的每位客人都可以参观故宫，我社会根据情况调整行程，敬请谅解2、故宫博物院实行实名制携带二代身份证购票，请客人一定要携带身份证件才能入馆，如因客人自身原因未带身份证件造成无法入馆的情况，后果客人承担，如学生儿童没有身份证件请携带户口簿或者护照入馆。3、当日午餐时间较晚，步行路程较多，建议自备一些点心和零食充饥。</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2025/10/26</w:t>
            </w:r>
          </w:p>
        </w:tc>
        <w:tc>
          <w:tcPr>
            <w:tcW w:w="2310" w:type="dxa"/>
            <w:gridSpan w:val="7"/>
          </w:tcPr>
          <w:p>
            <w:pPr/>
            <w:r>
              <w:rPr>
                <w:lang w:val="zh-CN"/>
                <w:rFonts w:ascii="Times New Roman" w:hAnsi="Times New Roman" w:cs="Times New Roman"/>
                <w:b/>
                <w:color w:val="000000"/>
              </w:rPr>
              <w:t>升旗—八达岭长城—外观鸟巢水立方(汽车)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起，观看庄严的【升旗仪式】，早餐后，赴延庆，途经居庸关长城，观燕京八景之一的—居庸叠翠，登【八达岭长城】（约3小时）感受毛主席的“不到长城非好汉”的宏图伟智。乘车至2008奥体主会场【鸟巢、水立方】自由活动30分钟，拍照留念，游览2008年奥运会【奥林匹克公园】（约40分）。沿途可欣赏到华夏五千年龙图腾【国家速滑馆冰丝带】外景，【首钢滑雪大跳台-雪飞天】外景近观2008年奥运主会场【鸟巢】和水蓝色梦幻游泳馆【水立方】外景，您可下车拍照留念。晚餐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早餐：含；午餐：含；晚餐：含；住宿：京/津</w:t>
            </w:r>
          </w:p>
        </w:tc>
      </w:tr>
      <w:tr>
        <w:tc>
          <w:tcPr>
            <w:tcW w:w="2310" w:type="dxa"/>
            <w:vAlign w:val="center"/>
            <w:vMerge w:val="restart"/>
          </w:tcPr>
          <w:p>
            <w:pPr/>
            <w:r>
              <w:rPr>
                <w:lang w:val="zh-CN"/>
                <w:rFonts w:ascii="Times New Roman" w:hAnsi="Times New Roman" w:cs="Times New Roman"/>
                <w:sz w:val="20"/>
                <w:szCs w:val="20"/>
                <w:color w:val="000000"/>
              </w:rPr>
              <w:t>2025/10/27</w:t>
            </w:r>
          </w:p>
        </w:tc>
        <w:tc>
          <w:tcPr>
            <w:tcW w:w="2310" w:type="dxa"/>
            <w:gridSpan w:val="7"/>
          </w:tcPr>
          <w:p>
            <w:pPr/>
            <w:r>
              <w:rPr>
                <w:lang w:val="zh-CN"/>
                <w:rFonts w:ascii="Times New Roman" w:hAnsi="Times New Roman" w:cs="Times New Roman"/>
                <w:b/>
                <w:color w:val="000000"/>
              </w:rPr>
              <w:t>周邓—天津-曲艺之乡-天津相声—南市食品街—古文化街(汽车)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天津（游览约1.5小时），参观【意大利风情街】曾经意大利的租界，特色小洋楼景观一览无余；游览【天津古文化食品一条街】走进天津发祥地，感受中国味、文化味、天津味、古味，四味一体；赠送：观看由著名表演者【天津-曲艺之乡-天津相声】（赠送景点，不去不退费用），相声表演，富裕幽默感，说逗俱佳，国家级非物质文化遗产。参观【周邓纪念馆】（每周一闭馆，如遇政策性关闭则不入内参观）。外观天津的地标性建筑，直径高达110米，世界上最大的桥上摩天轮【天津之眼】，体现那“天门常开，彩虹初现”的神奇境界。外观天津举世无双的价值98亿的【瓷房子】，它的前身是经历百年的法式老洋楼，它的今生是极尽奢华的“瓷美楼奇”，这幢全身镶嵌有7亿多片古瓷片、13000多个古瓷盘和古瓷碗、300多个瓷猫枕、300多个汉白玉唐宋石狮子。</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早餐：含；午餐：含；晚餐：含；住宿：京/津</w:t>
            </w:r>
          </w:p>
        </w:tc>
      </w:tr>
      <w:tr>
        <w:tc>
          <w:tcPr>
            <w:tcW w:w="2310" w:type="dxa"/>
            <w:vAlign w:val="center"/>
            <w:vMerge w:val="restart"/>
          </w:tcPr>
          <w:p>
            <w:pPr/>
            <w:r>
              <w:rPr>
                <w:lang w:val="zh-CN"/>
                <w:rFonts w:ascii="Times New Roman" w:hAnsi="Times New Roman" w:cs="Times New Roman"/>
                <w:sz w:val="20"/>
                <w:szCs w:val="20"/>
                <w:color w:val="000000"/>
              </w:rPr>
              <w:t>2025/10/28</w:t>
            </w:r>
          </w:p>
        </w:tc>
        <w:tc>
          <w:tcPr>
            <w:tcW w:w="2310" w:type="dxa"/>
            <w:gridSpan w:val="7"/>
          </w:tcPr>
          <w:p>
            <w:pPr/>
            <w:r>
              <w:rPr>
                <w:lang w:val="zh-CN"/>
                <w:rFonts w:ascii="Times New Roman" w:hAnsi="Times New Roman" w:cs="Times New Roman"/>
                <w:b/>
                <w:color w:val="000000"/>
              </w:rPr>
              <w:t>北京-昆明-行程结束(飞机)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早餐后，后根据航班时间送机前往昆明，返回温馨的家。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标准：全程全国连锁酒店双人间单房差费用自理。如果您对住宿有较高需求请谨慎选择此产品2、交通服务：昆明上海，北京昆明飞机经济舱，华东到北京火车硬卧，不指定车次，不指定铺位；当地空调旅游巴士。3、餐饮标准：全程9早16正餐，餐标：正餐餐标：20-30元/人，十人一桌，8菜1汤，不足10人1桌按标准团餐餐标安排，菜量种类相应减少；其中北京包含烤鸭餐、自助餐、刘老根剧场餐、饺子宴、品尝狗不理包子5个特色餐，华东包含苏州三白宴、乾隆御茶宴、无锡酱排骨、南京盐水鸭4个特色。4、门票服务：行程内所列各景点首道大门票。此产品已经按照最优惠的门票价格核算，所以任何老年证、残疾证、军官证等特殊证件...无优惠差价可退，请知晓。此旅游产品中，门票采取预约制。如报名后景区门票约满或者恰逢闭馆（例如故宫，毛主席纪念堂，颐和园，军事博物馆，天安门升旗仪式等）导致无法参观游览，我社将退还门票，免票景点替换同类景点，我社概不承担责任，如果您对景点有特别需求，请谨慎选择此产品，不便之处敬请各位游客知悉！！！5、导游服务：地接导游+昆明起止全陪服务。6、儿童标准：儿童报价含往返机票，全程半餐车导服，不含门票、不占床。</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自费项目  京津段：1、漫步老胡同+艺麓园四合院150元/人；    2、大型杂技表演280元/人；3、纪晓岚故40元/人；                     4、老北京堂150元/人5、飞跃长城150元/人                      5、极地海洋馆220元/人华东段：1、海夜景【含：浦江游船、登金茂大厦88层或环球金融中心94层及超公里费用】320元/人      2、【苏州古运河游船及七里山塘老街】150元/人     3、宋城主题乐园+大型《宋城千古情》表演320-340元/人凡是参加自费项目的团员所有的优惠证件不予以使用（如老年证、学生证、教师证等）。不参加自费的游客，请在景区附近自由活动或休息，等待参加自费团友游览结束后一起返回酒店。  购物安排  京津段：天津麻花非传统购物费（如需购买请索取小票）华东段：全程进2个博物馆+1茶宴（丝绸博物馆+珍珠博物馆+御茶宴，内社有购物场所）。  </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门票说明：此行程价格为优惠后的打包价格，客人持特殊证件（如老年证、军官证、记者证、学生证、残疾证等）均无任何优惠及减免退费，未产生的费用一律不退。2、游览顺序：此行程顺序为参考顺序，由于飞机航班的不确定性，行程、景点游览顺序、游览时间仅提供参考标准，具体视准确航班进出点，天气及实际游览情况而定，我社有权在保证行程景点完全不变的情况下（景区关闭及不可抗力因素除外），对行程游览顺序予以调整，敬请谅解！3、门票预约：此旅游产品中，门票采取预约制。如报名后景区门票约满或者恰逢闭馆（例如故宫，毛主席纪念堂，颐和园，天安门升旗仪式等导致无法参观游览，我社将退还门票，免票景点替换同类景点，我社概不承担责任，如果您对景点有特别需求，请谨慎选择此产品，不便之处敬请各位游客知悉！！！4、西湖风景区涉及黄金周、节假日、周末，旅游旺季，实行交通管制，小车，大巴车均禁止进入，客人需要换乘景区公交车，交通方式自理：①普通公交车，市民游客混座的往返10元/人；②一站式接驳车：单程：20元/人；③包车服务：500元/趟，最大限乘50个人，具体当天以景区安排为准，敬请谅解。。5、行程中客人自愿放弃或中途离团、脱团、退团（如用房、用餐、用车等）费用一律不退。6、团队机票一经出票，不得更改、退换，退票只退机场建设费和燃油附加费.7、尊敬的游客朋友，此产品为进店推自费，如果您对自费购物没有任何需求，请您谨慎选择此产品 </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王韶仙</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蒋依诺</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17</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2025/10/17 10:53:22</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