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自由组团-黄帅</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黄帅</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13189037741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缪志兵</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18987112632</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BH-CGT20251017D</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10-17特价北华-上进北出10日双飞单卧</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2025-10-17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2025-10-26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11(11大)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2025-10-17 CZ8756 昆明→上海浦东国际机场 20:20-2330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2025-10-26 CZ8841 北京（大兴）→昆明 12:30- 161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1、郑忠林</w:t>
            </w:r>
          </w:p>
        </w:tc>
        <w:tc>
          <w:tcPr>
            <w:tcW w:w="2310" w:type="dxa"/>
            <w:vAlign w:val="center"/>
            <w:gridSpan w:val="2"/>
          </w:tcPr>
          <w:p>
            <w:pPr/>
            <w:r>
              <w:rPr>
                <w:lang w:val="zh-CN"/>
                <w:rFonts w:ascii="Times New Roman" w:hAnsi="Times New Roman" w:cs="Times New Roman"/>
                <w:sz w:val="20"/>
                <w:szCs w:val="20"/>
                <w:color w:val="000000"/>
              </w:rPr>
              <w:t>530122195605223216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2、安桂芬</w:t>
            </w:r>
          </w:p>
        </w:tc>
        <w:tc>
          <w:tcPr>
            <w:tcW w:w="2310" w:type="dxa"/>
            <w:vAlign w:val="center"/>
            <w:gridSpan w:val="2"/>
          </w:tcPr>
          <w:p>
            <w:pPr/>
            <w:r>
              <w:rPr>
                <w:lang w:val="zh-CN"/>
                <w:rFonts w:ascii="Times New Roman" w:hAnsi="Times New Roman" w:cs="Times New Roman"/>
                <w:sz w:val="20"/>
                <w:szCs w:val="20"/>
                <w:color w:val="000000"/>
              </w:rPr>
              <w:t>532401196009280629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3、李文艳</w:t>
            </w:r>
          </w:p>
        </w:tc>
        <w:tc>
          <w:tcPr>
            <w:tcW w:w="2310" w:type="dxa"/>
            <w:vAlign w:val="center"/>
            <w:gridSpan w:val="2"/>
          </w:tcPr>
          <w:p>
            <w:pPr/>
            <w:r>
              <w:rPr>
                <w:lang w:val="zh-CN"/>
                <w:rFonts w:ascii="Times New Roman" w:hAnsi="Times New Roman" w:cs="Times New Roman"/>
                <w:sz w:val="20"/>
                <w:szCs w:val="20"/>
                <w:color w:val="000000"/>
              </w:rPr>
              <w:t>532401196411170946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4、杨开武</w:t>
            </w:r>
          </w:p>
        </w:tc>
        <w:tc>
          <w:tcPr>
            <w:tcW w:w="2310" w:type="dxa"/>
            <w:vAlign w:val="center"/>
            <w:gridSpan w:val="2"/>
          </w:tcPr>
          <w:p>
            <w:pPr/>
            <w:r>
              <w:rPr>
                <w:lang w:val="zh-CN"/>
                <w:rFonts w:ascii="Times New Roman" w:hAnsi="Times New Roman" w:cs="Times New Roman"/>
                <w:sz w:val="20"/>
                <w:szCs w:val="20"/>
                <w:color w:val="000000"/>
              </w:rPr>
              <w:t>532401195708180614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5、周信涛</w:t>
            </w:r>
          </w:p>
        </w:tc>
        <w:tc>
          <w:tcPr>
            <w:tcW w:w="2310" w:type="dxa"/>
            <w:vAlign w:val="center"/>
            <w:gridSpan w:val="2"/>
          </w:tcPr>
          <w:p>
            <w:pPr/>
            <w:r>
              <w:rPr>
                <w:lang w:val="zh-CN"/>
                <w:rFonts w:ascii="Times New Roman" w:hAnsi="Times New Roman" w:cs="Times New Roman"/>
                <w:sz w:val="20"/>
                <w:szCs w:val="20"/>
                <w:color w:val="000000"/>
              </w:rPr>
              <w:t>530122196506293256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6、李国轩</w:t>
            </w:r>
          </w:p>
        </w:tc>
        <w:tc>
          <w:tcPr>
            <w:tcW w:w="2310" w:type="dxa"/>
            <w:vAlign w:val="center"/>
            <w:gridSpan w:val="2"/>
          </w:tcPr>
          <w:p>
            <w:pPr/>
            <w:r>
              <w:rPr>
                <w:lang w:val="zh-CN"/>
                <w:rFonts w:ascii="Times New Roman" w:hAnsi="Times New Roman" w:cs="Times New Roman"/>
                <w:sz w:val="20"/>
                <w:szCs w:val="20"/>
                <w:color w:val="000000"/>
              </w:rPr>
              <w:t>53012219460320261X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7、梁景</w:t>
            </w:r>
          </w:p>
        </w:tc>
        <w:tc>
          <w:tcPr>
            <w:tcW w:w="2310" w:type="dxa"/>
            <w:vAlign w:val="center"/>
            <w:gridSpan w:val="2"/>
          </w:tcPr>
          <w:p>
            <w:pPr/>
            <w:r>
              <w:rPr>
                <w:lang w:val="zh-CN"/>
                <w:rFonts w:ascii="Times New Roman" w:hAnsi="Times New Roman" w:cs="Times New Roman"/>
                <w:sz w:val="20"/>
                <w:szCs w:val="20"/>
                <w:color w:val="000000"/>
              </w:rPr>
              <w:t>530112194310030575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8、张琼英</w:t>
            </w:r>
          </w:p>
        </w:tc>
        <w:tc>
          <w:tcPr>
            <w:tcW w:w="2310" w:type="dxa"/>
            <w:vAlign w:val="center"/>
            <w:gridSpan w:val="2"/>
          </w:tcPr>
          <w:p>
            <w:pPr/>
            <w:r>
              <w:rPr>
                <w:lang w:val="zh-CN"/>
                <w:rFonts w:ascii="Times New Roman" w:hAnsi="Times New Roman" w:cs="Times New Roman"/>
                <w:sz w:val="20"/>
                <w:szCs w:val="20"/>
                <w:color w:val="000000"/>
              </w:rPr>
              <w:t>53012219610113322X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9、黄帅</w:t>
            </w:r>
          </w:p>
        </w:tc>
        <w:tc>
          <w:tcPr>
            <w:tcW w:w="2310" w:type="dxa"/>
            <w:vAlign w:val="center"/>
            <w:gridSpan w:val="2"/>
          </w:tcPr>
          <w:p>
            <w:pPr/>
            <w:r>
              <w:rPr>
                <w:lang w:val="zh-CN"/>
                <w:rFonts w:ascii="Times New Roman" w:hAnsi="Times New Roman" w:cs="Times New Roman"/>
                <w:sz w:val="20"/>
                <w:szCs w:val="20"/>
                <w:color w:val="000000"/>
              </w:rPr>
              <w:t>532128200305304114</w:t>
            </w:r>
          </w:p>
        </w:tc>
        <w:tc>
          <w:tcPr>
            <w:tcW w:w="2310" w:type="dxa"/>
            <w:vAlign w:val="center"/>
          </w:tcPr>
          <w:p>
            <w:pPr/>
            <w:r>
              <w:rPr>
                <w:lang w:val="zh-CN"/>
                <w:rFonts w:ascii="Times New Roman" w:hAnsi="Times New Roman" w:cs="Times New Roman"/>
                <w:sz w:val="20"/>
                <w:szCs w:val="20"/>
                <w:color w:val="000000"/>
              </w:rPr>
              <w:t>13189037741</w:t>
            </w:r>
          </w:p>
        </w:tc>
        <w:tc>
          <w:tcPr>
            <w:tcW w:w="2310" w:type="dxa"/>
            <w:vAlign w:val="center"/>
          </w:tcPr>
          <w:p>
            <w:pPr/>
            <w:r>
              <w:rPr>
                <w:lang w:val="zh-CN"/>
                <w:rFonts w:ascii="Times New Roman" w:hAnsi="Times New Roman" w:cs="Times New Roman"/>
                <w:sz w:val="20"/>
                <w:szCs w:val="20"/>
                <w:color w:val="000000"/>
              </w:rPr>
              <w:t>10、蒋辉</w:t>
            </w:r>
          </w:p>
        </w:tc>
        <w:tc>
          <w:tcPr>
            <w:tcW w:w="2310" w:type="dxa"/>
            <w:vAlign w:val="center"/>
            <w:gridSpan w:val="2"/>
          </w:tcPr>
          <w:p>
            <w:pPr/>
            <w:r>
              <w:rPr>
                <w:lang w:val="zh-CN"/>
                <w:rFonts w:ascii="Times New Roman" w:hAnsi="Times New Roman" w:cs="Times New Roman"/>
                <w:sz w:val="20"/>
                <w:szCs w:val="20"/>
                <w:color w:val="000000"/>
              </w:rPr>
              <w:t>530122198811162630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11、杨崇云</w:t>
            </w:r>
          </w:p>
        </w:tc>
        <w:tc>
          <w:tcPr>
            <w:tcW w:w="2310" w:type="dxa"/>
            <w:vAlign w:val="center"/>
            <w:gridSpan w:val="2"/>
          </w:tcPr>
          <w:p>
            <w:pPr/>
            <w:r>
              <w:rPr>
                <w:lang w:val="zh-CN"/>
                <w:rFonts w:ascii="Times New Roman" w:hAnsi="Times New Roman" w:cs="Times New Roman"/>
                <w:sz w:val="20"/>
                <w:szCs w:val="20"/>
                <w:color w:val="000000"/>
              </w:rPr>
              <w:t>530122195210121135</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10</w:t>
            </w:r>
          </w:p>
        </w:tc>
        <w:tc>
          <w:tcPr>
            <w:tcW w:w="2310" w:type="dxa"/>
          </w:tcPr>
          <w:p>
            <w:pPr/>
            <w:r>
              <w:rPr>
                <w:lang w:val="zh-CN"/>
                <w:rFonts w:ascii="Times New Roman" w:hAnsi="Times New Roman" w:cs="Times New Roman"/>
                <w:sz w:val="20"/>
                <w:szCs w:val="20"/>
                <w:color w:val="000000"/>
              </w:rPr>
              <w:t>2380.00</w:t>
            </w:r>
          </w:p>
        </w:tc>
        <w:tc>
          <w:tcPr>
            <w:tcW w:w="2310" w:type="dxa"/>
          </w:tcPr>
          <w:p>
            <w:pPr/>
            <w:r>
              <w:rPr>
                <w:lang w:val="zh-CN"/>
                <w:rFonts w:ascii="Times New Roman" w:hAnsi="Times New Roman" w:cs="Times New Roman"/>
                <w:sz w:val="20"/>
                <w:szCs w:val="20"/>
                <w:color w:val="000000"/>
              </w:rPr>
              <w:t>23800.00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1100.00</w:t>
            </w:r>
          </w:p>
        </w:tc>
        <w:tc>
          <w:tcPr>
            <w:tcW w:w="2310" w:type="dxa"/>
          </w:tcPr>
          <w:p>
            <w:pPr/>
            <w:r>
              <w:rPr>
                <w:lang w:val="zh-CN"/>
                <w:rFonts w:ascii="Times New Roman" w:hAnsi="Times New Roman" w:cs="Times New Roman"/>
                <w:sz w:val="20"/>
                <w:szCs w:val="20"/>
                <w:color w:val="000000"/>
              </w:rPr>
              <w:t>1100.00</w:t>
            </w:r>
          </w:p>
        </w:tc>
        <w:tc>
          <w:tcPr>
            <w:tcW w:w="2310" w:type="dxa"/>
            <w:gridSpan w:val="2"/>
          </w:tcPr>
          <w:p>
            <w:pPr/>
            <w:r>
              <w:rPr>
                <w:lang w:val="zh-CN"/>
                <w:rFonts w:ascii="Times New Roman" w:hAnsi="Times New Roman" w:cs="Times New Roman"/>
                <w:sz w:val="20"/>
                <w:szCs w:val="20"/>
                <w:color w:val="000000"/>
              </w:rPr>
              <w:t>机票款</w:t>
            </w: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增加费用</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304.50</w:t>
            </w:r>
          </w:p>
        </w:tc>
        <w:tc>
          <w:tcPr>
            <w:tcW w:w="2310" w:type="dxa"/>
          </w:tcPr>
          <w:p>
            <w:pPr/>
            <w:r>
              <w:rPr>
                <w:lang w:val="zh-CN"/>
                <w:rFonts w:ascii="Times New Roman" w:hAnsi="Times New Roman" w:cs="Times New Roman"/>
                <w:sz w:val="20"/>
                <w:szCs w:val="20"/>
                <w:color w:val="000000"/>
              </w:rPr>
              <w:t>304.50</w:t>
            </w:r>
          </w:p>
        </w:tc>
        <w:tc>
          <w:tcPr>
            <w:tcW w:w="2310" w:type="dxa"/>
            <w:gridSpan w:val="2"/>
          </w:tcPr>
          <w:p>
            <w:pPr/>
            <w:r>
              <w:rPr>
                <w:lang w:val="zh-CN"/>
                <w:rFonts w:ascii="Times New Roman" w:hAnsi="Times New Roman" w:cs="Times New Roman"/>
                <w:sz w:val="20"/>
                <w:szCs w:val="20"/>
                <w:color w:val="000000"/>
              </w:rPr>
              <w:t>火车票款</w:t>
            </w: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总金额：贰万伍仟贰佰零肆元伍角整</w:t>
            </w:r>
          </w:p>
        </w:tc>
        <w:tc>
          <w:tcPr>
            <w:tcW w:w="2310" w:type="dxa"/>
            <w:textDirection w:val="right"/>
            <w:gridSpan w:val="3"/>
          </w:tcPr>
          <w:p>
            <w:pPr/>
            <w:r>
              <w:rPr>
                <w:lang w:val="zh-CN"/>
                <w:rFonts w:ascii="Times New Roman" w:hAnsi="Times New Roman" w:cs="Times New Roman"/>
                <w:b/>
                <w:color w:val="FF0000"/>
              </w:rPr>
              <w:t>25204.50</w:t>
            </w:r>
          </w:p>
        </w:tc>
      </w:tr>
      <w:tr>
        <w:tc>
          <w:tcPr>
            <w:tcW w:w="2310" w:type="dxa"/>
            <w:gridSpan w:val="8"/>
          </w:tcPr>
          <w:p>
            <w:pPr/>
            <w:r>
              <w:rPr>
                <w:lang w:val="zh-CN"/>
                <w:rFonts w:ascii="Times New Roman" w:hAnsi="Times New Roman" w:cs="Times New Roman"/>
                <w:sz w:val="20"/>
                <w:szCs w:val="20"/>
                <w:color w:val="000000"/>
              </w:rPr>
              <w:t>全季合同保险</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2025/10/17</w:t>
            </w:r>
          </w:p>
        </w:tc>
        <w:tc>
          <w:tcPr>
            <w:tcW w:w="2310" w:type="dxa"/>
            <w:gridSpan w:val="7"/>
          </w:tcPr>
          <w:p>
            <w:pPr/>
            <w:r>
              <w:rPr>
                <w:lang w:val="zh-CN"/>
                <w:rFonts w:ascii="Times New Roman" w:hAnsi="Times New Roman" w:cs="Times New Roman"/>
                <w:b/>
                <w:color w:val="000000"/>
              </w:rPr>
              <w:t>昆明→上海(汽车、飞机)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昆明集合出发，飞机前往上海。我社师傅导游接站后入住酒店。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早餐：不含；午餐：不含；晚餐：不含；住宿：上海</w:t>
            </w:r>
          </w:p>
        </w:tc>
      </w:tr>
      <w:tr>
        <w:tc>
          <w:tcPr>
            <w:tcW w:w="2310" w:type="dxa"/>
            <w:vAlign w:val="center"/>
            <w:vMerge w:val="restart"/>
          </w:tcPr>
          <w:p>
            <w:pPr/>
            <w:r>
              <w:rPr>
                <w:lang w:val="zh-CN"/>
                <w:rFonts w:ascii="Times New Roman" w:hAnsi="Times New Roman" w:cs="Times New Roman"/>
                <w:sz w:val="20"/>
                <w:szCs w:val="20"/>
                <w:color w:val="000000"/>
              </w:rPr>
              <w:t>2025/10/18</w:t>
            </w:r>
          </w:p>
        </w:tc>
        <w:tc>
          <w:tcPr>
            <w:tcW w:w="2310" w:type="dxa"/>
            <w:gridSpan w:val="7"/>
          </w:tcPr>
          <w:p>
            <w:pPr/>
            <w:r>
              <w:rPr>
                <w:lang w:val="zh-CN"/>
                <w:rFonts w:ascii="Times New Roman" w:hAnsi="Times New Roman" w:cs="Times New Roman"/>
                <w:b/>
                <w:color w:val="000000"/>
              </w:rPr>
              <w:t>外滩南京路→城隍庙→中华艺术宫(汽车)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中华艺术宫】由中国2010年上海世博会中国国家馆改建而成，于2012年10月1日开馆，总建筑面积16.68万平米，展示面积近7万平米，拥有35个展厅。游览【外滩风光带】百年上海滩的标志和象征，万国建筑博览群、黄埔江风光。游览【南京路步行街】（游览时间约1.5小时）老上海十里洋场，中华五星商业街，数以千计的大中小型商场，汇集了中国最全和最时尚的商品；游览【上海城隍庙老街】（游览时间约1小时）城隍庙小吃街是上海著名的美食街之一，以汇聚大江南北各地美食而闻名，可自由品尝老上海美食。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早餐：含；午餐：含；晚餐：含；住宿：上海</w:t>
            </w:r>
          </w:p>
        </w:tc>
      </w:tr>
      <w:tr>
        <w:tc>
          <w:tcPr>
            <w:tcW w:w="2310" w:type="dxa"/>
            <w:vAlign w:val="center"/>
            <w:vMerge w:val="restart"/>
          </w:tcPr>
          <w:p>
            <w:pPr/>
            <w:r>
              <w:rPr>
                <w:lang w:val="zh-CN"/>
                <w:rFonts w:ascii="Times New Roman" w:hAnsi="Times New Roman" w:cs="Times New Roman"/>
                <w:sz w:val="20"/>
                <w:szCs w:val="20"/>
                <w:color w:val="000000"/>
              </w:rPr>
              <w:t>2025/10/19</w:t>
            </w:r>
          </w:p>
        </w:tc>
        <w:tc>
          <w:tcPr>
            <w:tcW w:w="2310" w:type="dxa"/>
            <w:gridSpan w:val="7"/>
          </w:tcPr>
          <w:p>
            <w:pPr/>
            <w:r>
              <w:rPr>
                <w:lang w:val="zh-CN"/>
                <w:rFonts w:ascii="Times New Roman" w:hAnsi="Times New Roman" w:cs="Times New Roman"/>
                <w:b/>
                <w:color w:val="000000"/>
              </w:rPr>
              <w:t>丝绸博物馆→乌镇东栅→漫步西湖(汽车)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丝绸博物馆】约60分钟，是一家集丝绸文化为一体，大型综合性博物馆（备注：此景点内有购物场所，如需要请谨慎购买并索要发票）。游览江南水乡“中国最后的枕水人家”影视片【似水年华】的拍摄取景地【乌镇东栅】：乌镇是典型的江南水乡古镇，素有“鱼米之乡，丝绸之府”之称。一条流水贯穿全镇，它以水为街，以岸为市，两岸房屋建筑全面向河水，形成了水乡迷人的风光。后车赴西湖，游览【西湖景区】漫步苏堤，游览曲院风荷,西湖十景之一，著名赏荷胜地等，苏堤春晓（西湖十景之一，移步换景，近距离颀赏西湖）；（船游西湖需自理60元/人）车游钱塘江风光，观六和塔外景，品尝杭州风味茶餐（龙井御茶宴）【温馨提示】西湖风景区涉及黄金周、节假日、周末，旅游旺季，实行交通管制，小车，大巴车均禁止进入，客人需要换乘景区公交车，交通方式自理：普通公交车，市民游客混座往返10元/人；一站式接驳车：往返20元/人；包车服务：500元/单趟，最大限乘50个人，具体当天以景区安排为准，敬请谅解。凡是团队涉及小交通费用的，我社免费赠送普通公交车往返，如客人有更高需求敬请自理，赠送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w:t>
            </w:r>
          </w:p>
        </w:tc>
      </w:tr>
      <w:tr>
        <w:tc>
          <w:tcPr>
            <w:tcW w:w="2310" w:type="dxa"/>
            <w:vAlign w:val="center"/>
            <w:vMerge w:val="restart"/>
          </w:tcPr>
          <w:p>
            <w:pPr/>
            <w:r>
              <w:rPr>
                <w:lang w:val="zh-CN"/>
                <w:rFonts w:ascii="Times New Roman" w:hAnsi="Times New Roman" w:cs="Times New Roman"/>
                <w:sz w:val="20"/>
                <w:szCs w:val="20"/>
                <w:color w:val="000000"/>
              </w:rPr>
              <w:t>2025/10/20</w:t>
            </w:r>
          </w:p>
        </w:tc>
        <w:tc>
          <w:tcPr>
            <w:tcW w:w="2310" w:type="dxa"/>
            <w:gridSpan w:val="7"/>
          </w:tcPr>
          <w:p>
            <w:pPr/>
            <w:r>
              <w:rPr>
                <w:lang w:val="zh-CN"/>
                <w:rFonts w:ascii="Times New Roman" w:hAnsi="Times New Roman" w:cs="Times New Roman"/>
                <w:b/>
                <w:color w:val="000000"/>
              </w:rPr>
              <w:t>珍珠博物馆→苏州同里→退思园→七里山塘街→三国城(汽车)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苏和盛珍珠博物馆】约60分钟，了解珍珠的生成过程，自由参观购物（非传统购物店，如需购买请索取小票）。游览集古镇水乡园林为一体的国家5A级景区【同里古镇】属于江苏省苏州市吴江区，宋代建镇。镇区内始建于明清两代的花园、寺观、宅第和名人故居众多，“川”字形的15条小河把古镇区分隔成七个小岛，而49座古桥又将其连成一体，以“小桥、流水、人家”著称。游览世界文化遗产【退思园】位于中国江苏省苏州市吴江区同里镇古镇区新填街234号，始建于清光绪十一年至十三年（1885—1887年），该园是清朝官员任兰生被罢官返回故里后建造，园名引自《左传》中的“林父之事君也，进思尽忠，退思补过”之意。游览老苏州的缩影，苏州古代的金粉地，吴文化的代表【七里山塘街】，有典型江南水乡的风貌，家家户户前街后河，河上小船来往如梭，街上店铺林立，漫步山塘老街，游明园林建筑—玉涵堂；赏青砖小瓦马头墙，回廊挂落花格窗之苏州美景。后车赴无锡游览影视基地【三国城】(乘仿古战船畅游太湖)；为拍摄《三国演义》而兴建的大型影视文化景区，“刘备招亲”、“火烧赤壁”、“横槊赋诗”、“草船借箭”、“借东风”、“诸葛吊孝”、“舌战群儒”等十多集的重场戏均在此拍摄；</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早餐：含；午餐：含；晚餐：含；住宿：无锡</w:t>
            </w:r>
          </w:p>
        </w:tc>
      </w:tr>
      <w:tr>
        <w:tc>
          <w:tcPr>
            <w:tcW w:w="2310" w:type="dxa"/>
            <w:vAlign w:val="center"/>
            <w:vMerge w:val="restart"/>
          </w:tcPr>
          <w:p>
            <w:pPr/>
            <w:r>
              <w:rPr>
                <w:lang w:val="zh-CN"/>
                <w:rFonts w:ascii="Times New Roman" w:hAnsi="Times New Roman" w:cs="Times New Roman"/>
                <w:sz w:val="20"/>
                <w:szCs w:val="20"/>
                <w:color w:val="000000"/>
              </w:rPr>
              <w:t>2025/10/21</w:t>
            </w:r>
          </w:p>
        </w:tc>
        <w:tc>
          <w:tcPr>
            <w:tcW w:w="2310" w:type="dxa"/>
            <w:gridSpan w:val="7"/>
          </w:tcPr>
          <w:p>
            <w:pPr/>
            <w:r>
              <w:rPr>
                <w:lang w:val="zh-CN"/>
                <w:rFonts w:ascii="Times New Roman" w:hAnsi="Times New Roman" w:cs="Times New Roman"/>
                <w:b/>
                <w:color w:val="000000"/>
              </w:rPr>
              <w:t>中山陵→雨花台→秦淮河夫子庙→东关古街→北京；(汽车、火车)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车赴南京，游览【中山陵】位于南京市玄武区紫金山南麓钟山风景名胜区内，是中国近代伟大的民主革命先行者孙中山先生的陵寝及其附属纪念建筑群，陵寝面积8万余平方米，于1926年春动工，至1929年夏建成。1、如遇中山陵周一闭馆，只能游览景区前半段，请谅解。2、中山陵实行实名制预约，如未预约成功，则取消参观或替换其他景点。参观【雨花台】这是新中国后建成规模最大的纪念性陵园，也是中国新民主主义革命的纪念圣地。1988年1月，被国务院列为全国重点文物保护单位，2000年列为首批国家AAAA级旅游景区、全国爱国主义教育示范基地。后游集南京六朝文化和民俗市肆文化于一身的【秦淮河】【夫子庙】（游览时间约1.5小时），秦淮河风光带，游文德桥，乌衣巷，神州第一大照壁，感受“十里秦淮千年流淌，六朝胜地今更辉煌”，自费品尝南京小吃如：鸭血粉丝、赤豆元宵、鸭油烧饼，盐水鸭蜜汁藕等。游览【东关古街】（此景点属于免费赠送景点，参观情况视火车票出票情况及游览时间而定，如果出到扬州，则安排游览，如果出到华东其他城市或者游览时间不够的话，则不安排浏览，也不安排等价替换。是扬州城里最具有代表性的一条历史老街。它东至古运河边，西至国庆路，全长1122米，原街道路面为长条板石铺设，这条街以前不仅是扬州水陆交通要冲，而且是商业、手工业和宗教文化中心。后火车硬卧前往北京，夜宿火车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早餐：含；午餐：含；晚餐：含；住宿：火车上</w:t>
            </w:r>
          </w:p>
        </w:tc>
      </w:tr>
      <w:tr>
        <w:tc>
          <w:tcPr>
            <w:tcW w:w="2310" w:type="dxa"/>
            <w:vAlign w:val="center"/>
            <w:vMerge w:val="restart"/>
          </w:tcPr>
          <w:p>
            <w:pPr/>
            <w:r>
              <w:rPr>
                <w:lang w:val="zh-CN"/>
                <w:rFonts w:ascii="Times New Roman" w:hAnsi="Times New Roman" w:cs="Times New Roman"/>
                <w:sz w:val="20"/>
                <w:szCs w:val="20"/>
                <w:color w:val="000000"/>
              </w:rPr>
              <w:t>2025/10/22</w:t>
            </w:r>
          </w:p>
        </w:tc>
        <w:tc>
          <w:tcPr>
            <w:tcW w:w="2310" w:type="dxa"/>
            <w:gridSpan w:val="7"/>
          </w:tcPr>
          <w:p>
            <w:pPr/>
            <w:r>
              <w:rPr>
                <w:lang w:val="zh-CN"/>
                <w:rFonts w:ascii="Times New Roman" w:hAnsi="Times New Roman" w:cs="Times New Roman"/>
                <w:b/>
                <w:color w:val="000000"/>
              </w:rPr>
              <w:t>天坛公园首道→颐和园→清华/北大外景→军博或首博(汽车)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游览明清两代北京最大的祭祀性场所【天坛公园】(首道门票）（约1小时）：进入天坛感受古木参天，这里号称北京城市中的“天然氧吧”，是世界文化遗产，是世界上最大的皇家祭祀建筑群；后前往【中国人民革命军事博物馆】（门票实行预约制，如预约不上，则安排【首都博物馆】或其他可预约的博物馆）中国唯一的大型综合性军事历史博物馆，占地面积8万多平方米，建筑面积6万多平方米，陈列面积4万多平方米。主楼高94.7米，中央7层，两侧4层。截止至2012年末，全馆有22个陈列厅、2个陈列广场。游览世界上最美丽的皇家园林【颐和园】，是保存最完整的一座皇行宫御苑，被誉为“皇家园林博物馆”有山有水有画，十里青山行画里，双飞白鸟似江南的园林风光。前往海淀区观清华/北大外景，拍照留念。</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2025/10/23</w:t>
            </w:r>
          </w:p>
        </w:tc>
        <w:tc>
          <w:tcPr>
            <w:tcW w:w="2310" w:type="dxa"/>
            <w:gridSpan w:val="7"/>
          </w:tcPr>
          <w:p>
            <w:pPr/>
            <w:r>
              <w:rPr>
                <w:lang w:val="zh-CN"/>
                <w:rFonts w:ascii="Times New Roman" w:hAnsi="Times New Roman" w:cs="Times New Roman"/>
                <w:b/>
                <w:color w:val="000000"/>
              </w:rPr>
              <w:t>升旗仪式→润德水晶→八达岭长城→外观奥林匹克公园(汽车)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后乘车赴昌平十三陵特区，前往北京润德水晶博物馆是一家集水晶为一体，大型综合性博物馆（备注：此景点内有购物场所，如需要请谨慎购买并索要发票）。 后游览【八达岭长城】(约120分钟)，感受“不到长城非好汉”的豪迈气魄，后前往【奥林区克公园】（约30分钟)【鸟巢、水立方外观】【冰丝带外观】为背景拍照留念，零距离体验2008激情、奥运情怀。奥林匹克公园位于城市传统中轴线的延伸，意喻中国千年历史文化的延续。国家速滑馆又称为“冰丝带”，是2022年北京冬奥会北京主赛区标志性场馆、唯一新建的冰上竞赛场馆。结束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 ；住宿：北京</w:t>
            </w:r>
          </w:p>
        </w:tc>
      </w:tr>
      <w:tr>
        <w:tc>
          <w:tcPr>
            <w:tcW w:w="2310" w:type="dxa"/>
            <w:vAlign w:val="center"/>
            <w:vMerge w:val="restart"/>
          </w:tcPr>
          <w:p>
            <w:pPr/>
            <w:r>
              <w:rPr>
                <w:lang w:val="zh-CN"/>
                <w:rFonts w:ascii="Times New Roman" w:hAnsi="Times New Roman" w:cs="Times New Roman"/>
                <w:sz w:val="20"/>
                <w:szCs w:val="20"/>
                <w:color w:val="000000"/>
              </w:rPr>
              <w:t>2025/10/24</w:t>
            </w:r>
          </w:p>
        </w:tc>
        <w:tc>
          <w:tcPr>
            <w:tcW w:w="2310" w:type="dxa"/>
            <w:gridSpan w:val="7"/>
          </w:tcPr>
          <w:p>
            <w:pPr/>
            <w:r>
              <w:rPr>
                <w:lang w:val="zh-CN"/>
                <w:rFonts w:ascii="Times New Roman" w:hAnsi="Times New Roman" w:cs="Times New Roman"/>
                <w:b/>
                <w:color w:val="000000"/>
              </w:rPr>
              <w:t>天安门广场→故宫→景山公园→什刹海→前门大街(汽车)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参观【毛主席纪念堂】（周一闭馆，如遇政策性关闭则不能入内参观，改为参观外景。门票实行预约制，如预约不上，外观或替换成其他可替换的景点））。瞻仰【人民英雄纪念碑】外景【人民大会堂外观】【国家大剧院外观】，游览全世界最大的宫殿建筑群【故宫博物院】（约2小时，门票实行预约制，如预约不上，退还门票或者替换成其他可替换的景点；）深度游览故宫，含东西6宫，打卡延禧宫。（特别赠送：含乘坐故宫摆渡车+故宫耳机）后前往【景山公园】俯瞰故宫。午餐后游览“亚洲最佳风情胜地”中国最美城区【什刹海风景区】（约30分钟）外观京城最高的古建筑之一【鼓楼】。乘车前往北京参观游览非常著名的商业街【前门大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2025/10/25</w:t>
            </w:r>
          </w:p>
        </w:tc>
        <w:tc>
          <w:tcPr>
            <w:tcW w:w="2310" w:type="dxa"/>
            <w:gridSpan w:val="7"/>
          </w:tcPr>
          <w:p>
            <w:pPr/>
            <w:r>
              <w:rPr>
                <w:lang w:val="zh-CN"/>
                <w:rFonts w:ascii="Times New Roman" w:hAnsi="Times New Roman" w:cs="Times New Roman"/>
                <w:b/>
                <w:color w:val="000000"/>
              </w:rPr>
              <w:t>周邓纪念馆→古文化街→食品街→意大利风情街(汽车)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约1小时）周一闭馆，如政策性闭馆则外观，去观看伟人影片、再一次经历“十里长街送总理”的悲痛。车览素有“万国建筑博览会”之称的租界洋楼，特定历史时期的产物，是世界建筑界的瑰宝，汇聚着西方各国异国风情的建筑【五大道意大利风景区】，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2025/10/26</w:t>
            </w:r>
          </w:p>
        </w:tc>
        <w:tc>
          <w:tcPr>
            <w:tcW w:w="2310" w:type="dxa"/>
            <w:gridSpan w:val="7"/>
          </w:tcPr>
          <w:p>
            <w:pPr/>
            <w:r>
              <w:rPr>
                <w:lang w:val="zh-CN"/>
                <w:rFonts w:ascii="Times New Roman" w:hAnsi="Times New Roman" w:cs="Times New Roman"/>
                <w:b/>
                <w:color w:val="000000"/>
              </w:rPr>
              <w:t>北京→昆明(汽车、飞机)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早餐后，后根据航班时间送机前往昆明，返回温馨的家。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标准：全程入住商务型酒店双人标准间，单房差费用自理。如果您对住宿有较高需求请谨慎选择此产品2、交通服务：昆明上海，北京昆明飞机经济舱，华东到北京火车硬卧，不指定车次，不指定铺位；当地空调旅游巴士。3、餐饮标准：行程所列9早16正，正餐餐标20-30元/人/餐（八菜一汤，十人一桌）早餐说明：行程所列早餐为酒店含，华东段酒店早餐为主，北京为简单打包热早，如果您对餐饮有较高需求请谨慎选择此产品。特色餐饮：京津段：老北京烤鸭餐（30），北京饺子宴（30），北京自助餐或东来顺涮羊肉（30），品尝天津狗不理包子（20）；其他未做说明的餐标20元/人华东段：无锡酱排骨（20），南京盐水鸭（20），龙井御茶宴（30），太湖河鲜宴（20），水乡特色宴（20），其他未做说明的餐标20元/人4、门票服务：行程内所列各景点首道大门票。此产品已经按照最优惠的门票价格核算，所以任何老年证、残疾证、军官证等特殊证件...无优惠差价可退，请知晓。此旅游产品中，门票采取预约制。如报名后景区门票约满或者恰逢闭馆（例如故宫，毛主席纪念堂，颐和园，军事博物馆，天安门升旗仪式等）导致无法参观游览，我社将退还门票，免票景点替换同类景点，我社概不承担责任，如果您对景点有特别需求，请谨慎选择此产品，不便之处敬请各位游客知悉！！！5、导游服务：地接导游+昆明起止全陪服务。6、儿童标准：儿童报价含往返机票，全程半餐车导服，不含门票、不占床。</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自费项目京津段：1、老北京堂会+黄包车200元/人；2、奥运杂技演出220元/人；3、天津极地海洋馆240元/人； 4、慈禧水道150元/人华东段：1、夜游上海登高套餐320元/人2、宋城千古情园区+表演320元/人3、苏州游船150元/人4、船游西湖+导游讲解60元/人凡是参加自费项目的团员所有的优惠证件不予以使用（如老年证、学生证、教师证等）。不参加自费的游客，请在景区附近自由活动或休息，等待参加自费团友游览结束后一起返回酒店。购物安排京津段：北京润德水晶博物馆，天津麻花非传统购物费（如需购买请索取小票）华东段：苏和盛珍珠博物馆，丝绸博物馆。（非传统购物店，如需购买请索取小票）</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黄帅</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缪志兵</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15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2025/10/15 9:13:11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