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七彩金桥/向贵记</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向贵记</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13648839431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BH-CGT20251016D</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10-16北华风云三国双飞单卧10天（北进上出）CZ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2025-10-16 CZ3902 昆明→北京 13:30-16:55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2025-10-25 CZ3677 上海→昆明 07:25-10:5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1、陈凤琼</w:t>
            </w:r>
          </w:p>
        </w:tc>
        <w:tc>
          <w:tcPr>
            <w:tcW w:w="2310" w:type="dxa"/>
            <w:vAlign w:val="center"/>
            <w:gridSpan w:val="2"/>
          </w:tcPr>
          <w:p>
            <w:pPr/>
            <w:r>
              <w:rPr>
                <w:lang w:val="zh-CN"/>
                <w:rFonts w:ascii="Times New Roman" w:hAnsi="Times New Roman" w:cs="Times New Roman"/>
                <w:sz w:val="20"/>
                <w:szCs w:val="20"/>
                <w:color w:val="000000"/>
              </w:rPr>
              <w:t>532528195610220927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2、普凤珍</w:t>
            </w:r>
          </w:p>
        </w:tc>
        <w:tc>
          <w:tcPr>
            <w:tcW w:w="2310" w:type="dxa"/>
            <w:vAlign w:val="center"/>
            <w:gridSpan w:val="2"/>
          </w:tcPr>
          <w:p>
            <w:pPr/>
            <w:r>
              <w:rPr>
                <w:lang w:val="zh-CN"/>
                <w:rFonts w:ascii="Times New Roman" w:hAnsi="Times New Roman" w:cs="Times New Roman"/>
                <w:sz w:val="20"/>
                <w:szCs w:val="20"/>
                <w:color w:val="000000"/>
              </w:rPr>
              <w:t>532528195510020960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3、李永琼</w:t>
            </w:r>
          </w:p>
        </w:tc>
        <w:tc>
          <w:tcPr>
            <w:tcW w:w="2310" w:type="dxa"/>
            <w:vAlign w:val="center"/>
            <w:gridSpan w:val="2"/>
          </w:tcPr>
          <w:p>
            <w:pPr/>
            <w:r>
              <w:rPr>
                <w:lang w:val="zh-CN"/>
                <w:rFonts w:ascii="Times New Roman" w:hAnsi="Times New Roman" w:cs="Times New Roman"/>
                <w:sz w:val="20"/>
                <w:szCs w:val="20"/>
                <w:color w:val="000000"/>
              </w:rPr>
              <w:t>532528195805010946</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3780.00</w:t>
            </w:r>
          </w:p>
        </w:tc>
        <w:tc>
          <w:tcPr>
            <w:tcW w:w="2310" w:type="dxa"/>
          </w:tcPr>
          <w:p>
            <w:pPr/>
            <w:r>
              <w:rPr>
                <w:lang w:val="zh-CN"/>
                <w:rFonts w:ascii="Times New Roman" w:hAnsi="Times New Roman" w:cs="Times New Roman"/>
                <w:sz w:val="20"/>
                <w:szCs w:val="20"/>
                <w:color w:val="000000"/>
              </w:rPr>
              <w:t>11340.00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总金额：壹万壹仟叁佰肆拾元整</w:t>
            </w:r>
          </w:p>
        </w:tc>
        <w:tc>
          <w:tcPr>
            <w:tcW w:w="2310" w:type="dxa"/>
            <w:textDirection w:val="right"/>
            <w:gridSpan w:val="3"/>
          </w:tcPr>
          <w:p>
            <w:pPr/>
            <w:r>
              <w:rPr>
                <w:lang w:val="zh-CN"/>
                <w:rFonts w:ascii="Times New Roman" w:hAnsi="Times New Roman" w:cs="Times New Roman"/>
                <w:b/>
                <w:color w:val="FF0000"/>
              </w:rPr>
              <w:t>11340.00</w:t>
            </w:r>
          </w:p>
        </w:tc>
      </w:tr>
      <w:tr>
        <w:tc>
          <w:tcPr>
            <w:tcW w:w="2310" w:type="dxa"/>
            <w:gridSpan w:val="8"/>
          </w:tcPr>
          <w:p>
            <w:pPr/>
            <w:r>
              <w:rPr>
                <w:lang w:val="zh-CN"/>
                <w:rFonts w:ascii="Times New Roman" w:hAnsi="Times New Roman" w:cs="Times New Roman"/>
                <w:sz w:val="20"/>
                <w:szCs w:val="20"/>
                <w:color w:val="000000"/>
              </w:rPr>
              <w:t>全季合同</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早餐：不含；午餐：不含；晚餐：不含；住宿：北京商务酒店</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天安门→毛纪→故宫→什刹海→前门大街→老北京堂会+四合院(巴士)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国家大剧院】。游览全世界最大的宫殿建筑群【故宫博物院】（约2小时，门票实行预约制，如预约不上，退还门票或者替换成其他可替换的景点；）深度游览故宫，含东西6宫，打卡延禧宫。（特别赠送：含乘坐故宫摆渡车+故宫耳机）前往【景山公园】，西临北海，南与故宫神武门隔街相望，是明、清两代的御苑。公园中心的景山为堆土而成，曾是全城的制高点。爬上山顶到达绝佳位置“万春亭”俯瞰故宫全貌，紫禁城全景尽收眼底。北看钟鼓楼、奥林匹克塔、北京四合院，东看国贸CBD的“大裤衩”、北京第一高楼“中国尊”，是相当高大霸气。乘车前往北京参观游览非常著名的商业街【前门大街】，作为北京最具代表性的传统商业街之一，承载着丰富的历史文化底蕴，是游客探寻老北京风貌的必去之地。在这里，你可以品尝到地道的北京小吃，如糖葫芦的甜、炸酱面的咸，尽享美食盛宴。同时，你还可以漫步在充满历史气息的老北京胡同中，感受到浓厚的历史氛围。午餐后游览“亚洲最佳风情胜地”中国最美城区【什刹海风景区】（约30分钟），什刹海曾经是清朝王公贵族的后花园，至今仍保留有众多的王府、花园和名人故居，观赏“银锭观山”、“柳岸风荷”等具有百年历史美誉的自然景观。欣赏老北京旧城区最美丽、最繁华的地方，在这里您可以感受到彻彻底底的老北京胡同四合院的氛围，当夜幕降临，什刹海周边的酒吧灯红酒绿，让您一睹夜晚北京风采。外观京城最高的古建筑之一【鼓楼】。特别安排【老北京四合院】+【老北京堂会】步行游览北京胡同，感受老北京不一样的胡同文化，赠送欣赏老北京天桥艺人的各种绝活表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天安门升旗仪式→八达岭长城→奥运杂技演→鸟巢水立方外观(巴士)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后游览【八达岭长城】(约120分钟)，感受“不到长城非好汉”的豪迈气魄。此段是京都西北方向重要关口，海拔高达1015米，地势险要，城关坚固。是万里长城的精华和杰出代表，历史上被称为“天下九塞之一”。为明长城中保存蕞好的一段，高超的建筑技艺和不朽的艺术价值，充分体现了中国古代劳动人民的智慧和力量。特别安排观看【奥运杂技演出】，释放内心的激情，共同沐浴永恒的奥运精神；凭借民族文化的光芒，放飞希望和梦想。向世界播洒文明的火种，奏一曲和平和谐发展的乐章；凝聚我们共同超越的力量，升腾中国梦，感动世界情。一起重温奥运激情，再现精彩视界！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天坛公园（通票）→颐和园→军博或者首博→清华/北大外景(巴士)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世界上最美丽的皇家园林【颐和园】，是保存蕞完整的一座皇家行宫御苑，被誉为“皇家园林博物馆”。由万寿山、昆明湖构成基本框架，汲取江南园林的设计手法，借周围的山水环境，造就中国皇家园林的恢弘富丽气势，体现了“虽由人作，宛自天开”的造园意境。前往清华/北大外景并拍照。前往【中国人民革命军事博物馆】（门票实行预约制，如预约不上，则安排【首都博物馆】或者其他可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早餐：含；午餐：含；晚餐：含；住宿：京/津商务酒店</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周邓纪念馆→古文化街→食品街→意大利风情街→天津相声(火车)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周一闭馆，如政策性闭馆则外观（约1小时），去观看伟人影片、再一次经历“十里长街送总理”的悲痛，车览素有“万国建筑博览会”之称的租界洋楼，特定历史时期的产物，是世界建筑界的瑰宝，汇聚着西方各国异国风情的建筑【五大道意大利风景区】。特别安排【天津相声】，根据火车时间，乘火车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早餐：含；午餐：含；晚餐：含；住宿：夜宿火车硬卧</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中山陵→长江大桥→雨花台→秦淮河夫子庙乌衣巷(巴士)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中山陵】1、如遇中山陵周一闭馆，只能游览景区前半段，请谅解。2、中山陵实行实名制预约，如未预约成功，则取消参观或替换其他景点。是中华民国国父、中国民主革命的先行者孙中山的陵墓，位于南京市东郊紫金山南麓，西邻明孝陵，东毗灵谷寺，是全国重点文物保护单位。参观博爱坊墓道、陵门、碑亭、祭堂、墓室等。外观【南京长江大桥】（不上桥），是中国第一座完全依靠自主设计和建造的铁路、公路两用桥，被列为新金陵四十八景，是中国桥梁建设的里程碑，名副其实的“骨气桥”“争气桥”。游览爱国主义教育基地、风景秀美的城市森林公园【雨花台】，雨花台已有3000多年的历史，是一座以自然山林为依托，以红色旅游为主体，融和自然风光和人文景观为一体的全国独具特色的纪念性风景名胜区。雨花台是中国新民主主义革命的纪念圣地，百家红色旅游经典景区，景区内缅怀曾经为祖国抛头颅、洒热血的革命先烈。前往【夫子庙秦淮河风光带】自由活动。夫子庙始建于宋代，位于秦淮河北岸的贡院街旁，原是祀奉孔子的地方，后多次遭毁并重建。它与北京孔庙、曲阜孔庙、吉林文庙并称为中国四大文庙，也是夫子庙秦淮河风光带主要的景点。是南京城南最繁华的的地带，集六朝与明清历史、金陵民俗文化大观园于一身，亭台楼阁、桨声灯影，乌衣巷、文德桥、棂星门、天下文枢坊、东市、西市等小商品一条街，自由活动，品南京十里秦淮的风韵，享金陵特色小食，赏老南京民俗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早餐：含；午餐：含；晚餐：含；住宿：无锡商务酒店</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三国城→耦园→周庄→七里山塘街(巴士)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早餐后，车赴无锡游览影视基地【三国城】(乘仿古战船畅游太湖)；为拍摄《三国演义》而兴建的大型影视文化景区，“刘备招亲”、“火烧赤壁”、“横槊赋诗”、“草船借箭”、“借东风”、“诸葛吊孝”、“舌战群儒”等十多集的重场戏均在此拍摄。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七里山塘景区】，一条有将近1200年历史的步行街。曾是明清时期中国商贸、文化最为发达的街区之一，自古山塘街有“姑苏第一名街”之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早餐：含；午餐：含；晚餐：含；住宿：苏州商务酒店</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苏和盛→乌镇东栅→船游西湖→宋城千古情（园区+表演）(巴士)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千年水乡、似水年华的拍摄地【乌镇东栅】，自古繁华，千百年来，古镇民居临河而建、傍桥而市，镇内民风纯朴，是江南水乡“小桥、流水、人家”的典范，同时乌镇又有其它小镇所没有的临水建筑――水阁，乌镇由此又被称为“中国最后的枕水人家”。逢源姐妹廊桥，财神湾、蓝印花布坊，三白酿酒坊、江南百床馆等；乘车前往杭州。漫步苏堤，游览曲院风荷,西湖十景之一，著名赏荷胜地等，苏堤春晓（西湖十景之一，移步换景，近距离颀赏西湖。特别安排【船游西湖】，湖光山色船中游，探索杭州西湖美景。车游钱塘江风光，观六和塔外景，品尝杭州风味茶餐【龙井御茶宴】。特别赠送《宋城文化主题公园+宋城千古情大型歌舞表演》：园区内宋河东街、土豪家族、胭脂巷、非来巷、美食街、市井街六大主题街区华丽升级，热闹非凡；大宋博文化体验馆、柳永风月阁、七十二行老作坊等崭新亮相；活着的清明上河图、聊斋惊魂鬼屋、步步惊心鬼屋、人皮客栈听音室等高科技体验项目惊喜不断；土豪家族尝现打年糕、览古法木榨油、吃手工豆腐、饮乌毡帽酒，寻找父辈们的记忆；更有新春大庙会、火把节、泼水节、为爸妈喝彩等一年四季活动不断。【温馨提示】西湖风景区涉及黄金周、节假日、周末，旅游旺季，实行交通管制，小车，大巴车均禁止进入，客人需要换乘景区公交车，交通方式：普通公交车，市民游客混座的单趟5元/人，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早餐：含；午餐：含；晚餐：含；住宿：杭州商务酒店</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中华艺术宫→外滩南京路→城隍庙→登金茂大厦+船游黄浦江(巴士)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赴上海参观游览【中华艺术宫】（如遇周一闭馆，则外观。）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特别安排【上海夜景】：登金茂大厦88层观光厅赏上海夜景，览上海全貌，【船游黄浦江】观外滩两岸夜景，上海夜景被誉为“世界七大夜景之一”，可与美国曼哈顿的夜景相媲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早餐：含；午餐：含；晚餐：含；住宿：上海商务酒店</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上海→昆明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全程入住商务型酒店双人标准间，单房差费用自理。如果对住宿有较高要求的客人请谨慎选择此产品。2、交通服务：昆明-北京，上海-昆明飞机经济舱含税机票，天津/北京到南京/扬州火车卧铺，不指定车次，不保证铺位上中下（随机分配）当地空调旅游巴士。3、餐饮标准：行程所列9早16正，早餐酒店含，正餐餐标20-60元/人/餐（八菜一汤，十人一桌）早餐说明：行程所列早餐为酒店含，华东段酒店早为主，北京为简单打包热早餐，如果对早餐有较高需要的客人请谨慎选择此产品。特色餐饮：京津段：文旅演艺餐【永乐家宴】品便宜坊烤鸭+赏宫廷演艺+惊喜大互动+换装打卡（60）北京饺子宴（30）北京自助餐或东来顺涮肉（30）；天津狗不理包子（25），其他未做说明餐标20元/人华东段：无锡酱排骨（25），南京盐水鸭（25），龙井御茶宴（30），太湖河鲜宴（25）其他未做说明，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费用不含：1、行程中不包含的餐费、单人房差、经双方协商一致或者旅游者要求增加的项目。2、个人消费及其他服务费.3、酒店押金，单房差或加床费用及自由活动期间的餐食费、交通费。4、因交通延误、取消等意外事件或战争、罢工、自然灾害等不可抗拒力导致的额外费用。5、因旅游者违约、自身过错、自身疾病导致的人身财产损失而额外支付的费用。航空意外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大巴车禁止进入，客人需要换乘景区公交车，单趟5元/人，往返10元/人，包车200/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产品，如果您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向贵记</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12:10:23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