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中旺马龙门店周福金</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周福金</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15368381188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10-24特价北华10日（扬进石出）春秋</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2025-10-24  9C8730 昆明→扬州 17:55-20:55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2025-11-02 9C6951 石家庄→昆明 10:40-13:5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1、高泽惠</w:t>
            </w:r>
          </w:p>
        </w:tc>
        <w:tc>
          <w:tcPr>
            <w:tcW w:w="2310" w:type="dxa"/>
            <w:vAlign w:val="center"/>
            <w:gridSpan w:val="2"/>
          </w:tcPr>
          <w:p>
            <w:pPr/>
            <w:r>
              <w:rPr>
                <w:lang w:val="zh-CN"/>
                <w:rFonts w:ascii="Times New Roman" w:hAnsi="Times New Roman" w:cs="Times New Roman"/>
                <w:sz w:val="20"/>
                <w:szCs w:val="20"/>
                <w:color w:val="000000"/>
              </w:rPr>
              <w:t>532223196004020032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2、缪翠娥</w:t>
            </w:r>
          </w:p>
        </w:tc>
        <w:tc>
          <w:tcPr>
            <w:tcW w:w="2310" w:type="dxa"/>
            <w:vAlign w:val="center"/>
            <w:gridSpan w:val="2"/>
          </w:tcPr>
          <w:p>
            <w:pPr/>
            <w:r>
              <w:rPr>
                <w:lang w:val="zh-CN"/>
                <w:rFonts w:ascii="Times New Roman" w:hAnsi="Times New Roman" w:cs="Times New Roman"/>
                <w:sz w:val="20"/>
                <w:szCs w:val="20"/>
                <w:color w:val="000000"/>
              </w:rPr>
              <w:t>532223196611280047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3、孙益华</w:t>
            </w:r>
          </w:p>
        </w:tc>
        <w:tc>
          <w:tcPr>
            <w:tcW w:w="2310" w:type="dxa"/>
            <w:vAlign w:val="center"/>
            <w:gridSpan w:val="2"/>
          </w:tcPr>
          <w:p>
            <w:pPr/>
            <w:r>
              <w:rPr>
                <w:lang w:val="zh-CN"/>
                <w:rFonts w:ascii="Times New Roman" w:hAnsi="Times New Roman" w:cs="Times New Roman"/>
                <w:sz w:val="20"/>
                <w:szCs w:val="20"/>
                <w:color w:val="000000"/>
              </w:rPr>
              <w:t>532223195811300028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4、王玉秋</w:t>
            </w:r>
          </w:p>
        </w:tc>
        <w:tc>
          <w:tcPr>
            <w:tcW w:w="2310" w:type="dxa"/>
            <w:vAlign w:val="center"/>
            <w:gridSpan w:val="2"/>
          </w:tcPr>
          <w:p>
            <w:pPr/>
            <w:r>
              <w:rPr>
                <w:lang w:val="zh-CN"/>
                <w:rFonts w:ascii="Times New Roman" w:hAnsi="Times New Roman" w:cs="Times New Roman"/>
                <w:sz w:val="20"/>
                <w:szCs w:val="20"/>
                <w:color w:val="000000"/>
              </w:rPr>
              <w:t>530321197107227007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5、朱桂珍</w:t>
            </w:r>
          </w:p>
        </w:tc>
        <w:tc>
          <w:tcPr>
            <w:tcW w:w="2310" w:type="dxa"/>
            <w:vAlign w:val="center"/>
            <w:gridSpan w:val="2"/>
          </w:tcPr>
          <w:p>
            <w:pPr/>
            <w:r>
              <w:rPr>
                <w:lang w:val="zh-CN"/>
                <w:rFonts w:ascii="Times New Roman" w:hAnsi="Times New Roman" w:cs="Times New Roman"/>
                <w:sz w:val="20"/>
                <w:szCs w:val="20"/>
                <w:color w:val="000000"/>
              </w:rPr>
              <w:t>532228195903202005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6、刘家宽</w:t>
            </w:r>
          </w:p>
        </w:tc>
        <w:tc>
          <w:tcPr>
            <w:tcW w:w="2310" w:type="dxa"/>
            <w:vAlign w:val="center"/>
            <w:gridSpan w:val="2"/>
          </w:tcPr>
          <w:p>
            <w:pPr/>
            <w:r>
              <w:rPr>
                <w:lang w:val="zh-CN"/>
                <w:rFonts w:ascii="Times New Roman" w:hAnsi="Times New Roman" w:cs="Times New Roman"/>
                <w:sz w:val="20"/>
                <w:szCs w:val="20"/>
                <w:color w:val="000000"/>
              </w:rPr>
              <w:t>532223195606220512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7、邹美花</w:t>
            </w:r>
          </w:p>
        </w:tc>
        <w:tc>
          <w:tcPr>
            <w:tcW w:w="2310" w:type="dxa"/>
            <w:vAlign w:val="center"/>
            <w:gridSpan w:val="2"/>
          </w:tcPr>
          <w:p>
            <w:pPr/>
            <w:r>
              <w:rPr>
                <w:lang w:val="zh-CN"/>
                <w:rFonts w:ascii="Times New Roman" w:hAnsi="Times New Roman" w:cs="Times New Roman"/>
                <w:sz w:val="20"/>
                <w:szCs w:val="20"/>
                <w:color w:val="000000"/>
              </w:rPr>
              <w:t>532223195701100527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8、王林</w:t>
            </w:r>
          </w:p>
        </w:tc>
        <w:tc>
          <w:tcPr>
            <w:tcW w:w="2310" w:type="dxa"/>
            <w:vAlign w:val="center"/>
            <w:gridSpan w:val="2"/>
          </w:tcPr>
          <w:p>
            <w:pPr/>
            <w:r>
              <w:rPr>
                <w:lang w:val="zh-CN"/>
                <w:rFonts w:ascii="Times New Roman" w:hAnsi="Times New Roman" w:cs="Times New Roman"/>
                <w:sz w:val="20"/>
                <w:szCs w:val="20"/>
                <w:color w:val="000000"/>
              </w:rPr>
              <w:t>532228196308020017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9、他王琼</w:t>
            </w:r>
          </w:p>
        </w:tc>
        <w:tc>
          <w:tcPr>
            <w:tcW w:w="2310" w:type="dxa"/>
            <w:vAlign w:val="center"/>
            <w:gridSpan w:val="2"/>
          </w:tcPr>
          <w:p>
            <w:pPr/>
            <w:r>
              <w:rPr>
                <w:lang w:val="zh-CN"/>
                <w:rFonts w:ascii="Times New Roman" w:hAnsi="Times New Roman" w:cs="Times New Roman"/>
                <w:sz w:val="20"/>
                <w:szCs w:val="20"/>
                <w:color w:val="000000"/>
              </w:rPr>
              <w:t>532228196503060049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10、丁木华</w:t>
            </w:r>
          </w:p>
        </w:tc>
        <w:tc>
          <w:tcPr>
            <w:tcW w:w="2310" w:type="dxa"/>
            <w:vAlign w:val="center"/>
            <w:gridSpan w:val="2"/>
          </w:tcPr>
          <w:p>
            <w:pPr/>
            <w:r>
              <w:rPr>
                <w:lang w:val="zh-CN"/>
                <w:rFonts w:ascii="Times New Roman" w:hAnsi="Times New Roman" w:cs="Times New Roman"/>
                <w:sz w:val="20"/>
                <w:szCs w:val="20"/>
                <w:color w:val="000000"/>
              </w:rPr>
              <w:t>532201196506102435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11、阮小美</w:t>
            </w:r>
          </w:p>
        </w:tc>
        <w:tc>
          <w:tcPr>
            <w:tcW w:w="2310" w:type="dxa"/>
            <w:vAlign w:val="center"/>
            <w:gridSpan w:val="2"/>
          </w:tcPr>
          <w:p>
            <w:pPr/>
            <w:r>
              <w:rPr>
                <w:lang w:val="zh-CN"/>
                <w:rFonts w:ascii="Times New Roman" w:hAnsi="Times New Roman" w:cs="Times New Roman"/>
                <w:sz w:val="20"/>
                <w:szCs w:val="20"/>
                <w:color w:val="000000"/>
              </w:rPr>
              <w:t>532201196511302423</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11</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25080.00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总金额：贰万伍仟零捌拾元整</w:t>
            </w:r>
          </w:p>
        </w:tc>
        <w:tc>
          <w:tcPr>
            <w:tcW w:w="2310" w:type="dxa"/>
            <w:textDirection w:val="right"/>
            <w:gridSpan w:val="3"/>
          </w:tcPr>
          <w:p>
            <w:pPr/>
            <w:r>
              <w:rPr>
                <w:lang w:val="zh-CN"/>
                <w:rFonts w:ascii="Times New Roman" w:hAnsi="Times New Roman" w:cs="Times New Roman"/>
                <w:b/>
                <w:color w:val="FF0000"/>
              </w:rPr>
              <w:t>25080.00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昆明→扬州(汽车、飞机)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昆明集合出发，飞机前往扬州。我社师傅导游接站后，入住酒店；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早餐：不含；午餐：不含；晚餐：不含；住宿：扬州/泰州</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东关古街→无锡三国城→同里古镇→退思园→七里山塘街(汽车)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苏和盛珍珠博物馆→中华艺术宫→外滩→南京路→城隍庙；(汽车)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丝绸博物馆→乌镇东栅→杭州西湖(汽车)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游览完毕后入住酒店。【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中山陵→雨花台→秦淮河夫子庙乌衣巷→送火车(汽车、火车)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升旗仪式→八达岭长城→外观奥林匹克公园(汽车)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2025/10/31</w:t>
            </w:r>
          </w:p>
        </w:tc>
        <w:tc>
          <w:tcPr>
            <w:tcW w:w="2310" w:type="dxa"/>
            <w:gridSpan w:val="7"/>
          </w:tcPr>
          <w:p>
            <w:pPr/>
            <w:r>
              <w:rPr>
                <w:lang w:val="zh-CN"/>
                <w:rFonts w:ascii="Times New Roman" w:hAnsi="Times New Roman" w:cs="Times New Roman"/>
                <w:b/>
                <w:color w:val="000000"/>
              </w:rPr>
              <w:t>天坛公园（首票）→颐和园→军事博物馆或首都博物馆(汽车)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周邓纪念馆→古文化街→食品街→意大利风情街(汽车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石家庄→昆明(汽车、飞机)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要求请谨慎选择此产品2、交通服务：昆明-扬州/石家庄-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周福金</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2025/10/20 15:00:40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