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众信玉溪唐文娟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唐文娟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18213540224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10-24特价北华10日（扬进石出）春秋</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8(6大2小)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2025-10-24  9C8730 昆明→扬州 17:55-20:55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2025-11-02 9C6951 石家庄→昆明 10:40-13:5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1、李思纯</w:t>
            </w:r>
          </w:p>
        </w:tc>
        <w:tc>
          <w:tcPr>
            <w:tcW w:w="2310" w:type="dxa"/>
            <w:vAlign w:val="center"/>
            <w:gridSpan w:val="2"/>
          </w:tcPr>
          <w:p>
            <w:pPr/>
            <w:r>
              <w:rPr>
                <w:lang w:val="zh-CN"/>
                <w:rFonts w:ascii="Times New Roman" w:hAnsi="Times New Roman" w:cs="Times New Roman"/>
                <w:sz w:val="20"/>
                <w:szCs w:val="20"/>
                <w:color w:val="000000"/>
              </w:rPr>
              <w:t>53042219970603032X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2、李惠芳</w:t>
            </w:r>
          </w:p>
        </w:tc>
        <w:tc>
          <w:tcPr>
            <w:tcW w:w="2310" w:type="dxa"/>
            <w:vAlign w:val="center"/>
            <w:gridSpan w:val="2"/>
          </w:tcPr>
          <w:p>
            <w:pPr/>
            <w:r>
              <w:rPr>
                <w:lang w:val="zh-CN"/>
                <w:rFonts w:ascii="Times New Roman" w:hAnsi="Times New Roman" w:cs="Times New Roman"/>
                <w:sz w:val="20"/>
                <w:szCs w:val="20"/>
                <w:color w:val="000000"/>
              </w:rPr>
              <w:t>532423198110100343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3、李菊梅</w:t>
            </w:r>
          </w:p>
        </w:tc>
        <w:tc>
          <w:tcPr>
            <w:tcW w:w="2310" w:type="dxa"/>
            <w:vAlign w:val="center"/>
            <w:gridSpan w:val="2"/>
          </w:tcPr>
          <w:p>
            <w:pPr/>
            <w:r>
              <w:rPr>
                <w:lang w:val="zh-CN"/>
                <w:rFonts w:ascii="Times New Roman" w:hAnsi="Times New Roman" w:cs="Times New Roman"/>
                <w:sz w:val="20"/>
                <w:szCs w:val="20"/>
                <w:color w:val="000000"/>
              </w:rPr>
              <w:t>532423197204200340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4、潘瑾程</w:t>
            </w:r>
          </w:p>
        </w:tc>
        <w:tc>
          <w:tcPr>
            <w:tcW w:w="2310" w:type="dxa"/>
            <w:vAlign w:val="center"/>
            <w:gridSpan w:val="2"/>
          </w:tcPr>
          <w:p>
            <w:pPr/>
            <w:r>
              <w:rPr>
                <w:lang w:val="zh-CN"/>
                <w:rFonts w:ascii="Times New Roman" w:hAnsi="Times New Roman" w:cs="Times New Roman"/>
                <w:sz w:val="20"/>
                <w:szCs w:val="20"/>
                <w:color w:val="000000"/>
              </w:rPr>
              <w:t>530481202311180352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5、潘槿恬</w:t>
            </w:r>
          </w:p>
        </w:tc>
        <w:tc>
          <w:tcPr>
            <w:tcW w:w="2310" w:type="dxa"/>
            <w:vAlign w:val="center"/>
            <w:gridSpan w:val="2"/>
          </w:tcPr>
          <w:p>
            <w:pPr/>
            <w:r>
              <w:rPr>
                <w:lang w:val="zh-CN"/>
                <w:rFonts w:ascii="Times New Roman" w:hAnsi="Times New Roman" w:cs="Times New Roman"/>
                <w:sz w:val="20"/>
                <w:szCs w:val="20"/>
                <w:color w:val="000000"/>
              </w:rPr>
              <w:t>530481202202130321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6、张有德</w:t>
            </w:r>
          </w:p>
        </w:tc>
        <w:tc>
          <w:tcPr>
            <w:tcW w:w="2310" w:type="dxa"/>
            <w:vAlign w:val="center"/>
            <w:gridSpan w:val="2"/>
          </w:tcPr>
          <w:p>
            <w:pPr/>
            <w:r>
              <w:rPr>
                <w:lang w:val="zh-CN"/>
                <w:rFonts w:ascii="Times New Roman" w:hAnsi="Times New Roman" w:cs="Times New Roman"/>
                <w:sz w:val="20"/>
                <w:szCs w:val="20"/>
                <w:color w:val="000000"/>
              </w:rPr>
              <w:t>530122194710143010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7、刘自英</w:t>
            </w:r>
          </w:p>
        </w:tc>
        <w:tc>
          <w:tcPr>
            <w:tcW w:w="2310" w:type="dxa"/>
            <w:vAlign w:val="center"/>
            <w:gridSpan w:val="2"/>
          </w:tcPr>
          <w:p>
            <w:pPr/>
            <w:r>
              <w:rPr>
                <w:lang w:val="zh-CN"/>
                <w:rFonts w:ascii="Times New Roman" w:hAnsi="Times New Roman" w:cs="Times New Roman"/>
                <w:sz w:val="20"/>
                <w:szCs w:val="20"/>
                <w:color w:val="000000"/>
              </w:rPr>
              <w:t>530122194903253021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8、刘玉萍</w:t>
            </w:r>
          </w:p>
        </w:tc>
        <w:tc>
          <w:tcPr>
            <w:tcW w:w="2310" w:type="dxa"/>
            <w:vAlign w:val="center"/>
            <w:gridSpan w:val="2"/>
          </w:tcPr>
          <w:p>
            <w:pPr/>
            <w:r>
              <w:rPr>
                <w:lang w:val="zh-CN"/>
                <w:rFonts w:ascii="Times New Roman" w:hAnsi="Times New Roman" w:cs="Times New Roman"/>
                <w:sz w:val="20"/>
                <w:szCs w:val="20"/>
                <w:color w:val="000000"/>
              </w:rPr>
              <w:t>532423195111140327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14280.00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1890.00</w:t>
            </w:r>
          </w:p>
        </w:tc>
        <w:tc>
          <w:tcPr>
            <w:tcW w:w="2310" w:type="dxa"/>
          </w:tcPr>
          <w:p>
            <w:pPr/>
            <w:r>
              <w:rPr>
                <w:lang w:val="zh-CN"/>
                <w:rFonts w:ascii="Times New Roman" w:hAnsi="Times New Roman" w:cs="Times New Roman"/>
                <w:sz w:val="20"/>
                <w:szCs w:val="20"/>
                <w:color w:val="000000"/>
              </w:rPr>
              <w:t>1890.00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750.00</w:t>
            </w:r>
          </w:p>
        </w:tc>
        <w:tc>
          <w:tcPr>
            <w:tcW w:w="2310" w:type="dxa"/>
          </w:tcPr>
          <w:p>
            <w:pPr/>
            <w:r>
              <w:rPr>
                <w:lang w:val="zh-CN"/>
                <w:rFonts w:ascii="Times New Roman" w:hAnsi="Times New Roman" w:cs="Times New Roman"/>
                <w:sz w:val="20"/>
                <w:szCs w:val="20"/>
                <w:color w:val="000000"/>
              </w:rPr>
              <w:t>750.00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270.50</w:t>
            </w:r>
          </w:p>
        </w:tc>
        <w:tc>
          <w:tcPr>
            <w:tcW w:w="2310" w:type="dxa"/>
          </w:tcPr>
          <w:p>
            <w:pPr/>
            <w:r>
              <w:rPr>
                <w:lang w:val="zh-CN"/>
                <w:rFonts w:ascii="Times New Roman" w:hAnsi="Times New Roman" w:cs="Times New Roman"/>
                <w:sz w:val="20"/>
                <w:szCs w:val="20"/>
                <w:color w:val="000000"/>
              </w:rPr>
              <w:t>811.50</w:t>
            </w:r>
          </w:p>
        </w:tc>
        <w:tc>
          <w:tcPr>
            <w:tcW w:w="2310" w:type="dxa"/>
            <w:gridSpan w:val="2"/>
          </w:tcPr>
          <w:p>
            <w:pPr/>
            <w:r>
              <w:rPr>
                <w:lang w:val="zh-CN"/>
                <w:rFonts w:ascii="Times New Roman" w:hAnsi="Times New Roman" w:cs="Times New Roman"/>
                <w:sz w:val="20"/>
                <w:szCs w:val="20"/>
                <w:color w:val="000000"/>
              </w:rPr>
              <w:t>火车票退票重出</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总金额：壹万柒仟柒佰叁拾壹元伍角整</w:t>
            </w:r>
          </w:p>
        </w:tc>
        <w:tc>
          <w:tcPr>
            <w:tcW w:w="2310" w:type="dxa"/>
            <w:textDirection w:val="right"/>
            <w:gridSpan w:val="3"/>
          </w:tcPr>
          <w:p>
            <w:pPr/>
            <w:r>
              <w:rPr>
                <w:lang w:val="zh-CN"/>
                <w:rFonts w:ascii="Times New Roman" w:hAnsi="Times New Roman" w:cs="Times New Roman"/>
                <w:b/>
                <w:color w:val="FF0000"/>
              </w:rPr>
              <w:t>17731.50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昆明→扬州(汽车、飞机)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昆明集合出发，飞机前往扬州。我社师傅导游接站后，入住酒店；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早餐：不含；午餐：不含；晚餐：不含；住宿：扬州/泰州</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东关古街→无锡三国城→同里古镇→退思园→七里山塘街(汽车)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苏和盛珍珠博物馆→中华艺术宫→外滩→南京路→城隍庙；(汽车)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丝绸博物馆→乌镇东栅→杭州西湖(汽车)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游览完毕后入住酒店。【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中山陵→雨花台→秦淮河夫子庙乌衣巷→送火车(汽车、火车)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升旗仪式→八达岭长城→外观奥林匹克公园(汽车)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2025/10/31</w:t>
            </w:r>
          </w:p>
        </w:tc>
        <w:tc>
          <w:tcPr>
            <w:tcW w:w="2310" w:type="dxa"/>
            <w:gridSpan w:val="7"/>
          </w:tcPr>
          <w:p>
            <w:pPr/>
            <w:r>
              <w:rPr>
                <w:lang w:val="zh-CN"/>
                <w:rFonts w:ascii="Times New Roman" w:hAnsi="Times New Roman" w:cs="Times New Roman"/>
                <w:b/>
                <w:color w:val="000000"/>
              </w:rPr>
              <w:t>天坛公园（首票）→颐和园→军事博物馆或首都博物馆(汽车)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周邓纪念馆→古文化街→食品街→意大利风情街(汽车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石家庄→昆明(汽车、飞机)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要求请谨慎选择此产品2、交通服务：昆明-扬州/石家庄-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唐文娟</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2025/10/20 15:00:02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