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众信-陈红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陈红</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15288585570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杜国权</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18987120613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BH-CGT20251018D</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10-18盛世京华：北京+天津+华东双飞单卧10天（上进北出）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21(21大)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2025-10-18 CZ3678 昆明→上海 12:15-15:30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2025-10-27 CZ6111 北京→昆明 09:55-13:3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1、段兴萍</w:t>
            </w:r>
          </w:p>
        </w:tc>
        <w:tc>
          <w:tcPr>
            <w:tcW w:w="2310" w:type="dxa"/>
            <w:vAlign w:val="center"/>
            <w:gridSpan w:val="2"/>
          </w:tcPr>
          <w:p>
            <w:pPr/>
            <w:r>
              <w:rPr>
                <w:lang w:val="zh-CN"/>
                <w:rFonts w:ascii="Times New Roman" w:hAnsi="Times New Roman" w:cs="Times New Roman"/>
                <w:sz w:val="20"/>
                <w:szCs w:val="20"/>
                <w:color w:val="000000"/>
              </w:rPr>
              <w:t>532324196603200029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2、周炳凤</w:t>
            </w:r>
          </w:p>
        </w:tc>
        <w:tc>
          <w:tcPr>
            <w:tcW w:w="2310" w:type="dxa"/>
            <w:vAlign w:val="center"/>
            <w:gridSpan w:val="2"/>
          </w:tcPr>
          <w:p>
            <w:pPr/>
            <w:r>
              <w:rPr>
                <w:lang w:val="zh-CN"/>
                <w:rFonts w:ascii="Times New Roman" w:hAnsi="Times New Roman" w:cs="Times New Roman"/>
                <w:sz w:val="20"/>
                <w:szCs w:val="20"/>
                <w:color w:val="000000"/>
              </w:rPr>
              <w:t>532324196206010045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3、郭明富</w:t>
            </w:r>
          </w:p>
        </w:tc>
        <w:tc>
          <w:tcPr>
            <w:tcW w:w="2310" w:type="dxa"/>
            <w:vAlign w:val="center"/>
            <w:gridSpan w:val="2"/>
          </w:tcPr>
          <w:p>
            <w:pPr/>
            <w:r>
              <w:rPr>
                <w:lang w:val="zh-CN"/>
                <w:rFonts w:ascii="Times New Roman" w:hAnsi="Times New Roman" w:cs="Times New Roman"/>
                <w:sz w:val="20"/>
                <w:szCs w:val="20"/>
                <w:color w:val="000000"/>
              </w:rPr>
              <w:t>532324195707020730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4、吴萍芬</w:t>
            </w:r>
          </w:p>
        </w:tc>
        <w:tc>
          <w:tcPr>
            <w:tcW w:w="2310" w:type="dxa"/>
            <w:vAlign w:val="center"/>
            <w:gridSpan w:val="2"/>
          </w:tcPr>
          <w:p>
            <w:pPr/>
            <w:r>
              <w:rPr>
                <w:lang w:val="zh-CN"/>
                <w:rFonts w:ascii="Times New Roman" w:hAnsi="Times New Roman" w:cs="Times New Roman"/>
                <w:sz w:val="20"/>
                <w:szCs w:val="20"/>
                <w:color w:val="000000"/>
              </w:rPr>
              <w:t>532324195905250027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5、李建萍</w:t>
            </w:r>
          </w:p>
        </w:tc>
        <w:tc>
          <w:tcPr>
            <w:tcW w:w="2310" w:type="dxa"/>
            <w:vAlign w:val="center"/>
            <w:gridSpan w:val="2"/>
          </w:tcPr>
          <w:p>
            <w:pPr/>
            <w:r>
              <w:rPr>
                <w:lang w:val="zh-CN"/>
                <w:rFonts w:ascii="Times New Roman" w:hAnsi="Times New Roman" w:cs="Times New Roman"/>
                <w:sz w:val="20"/>
                <w:szCs w:val="20"/>
                <w:color w:val="000000"/>
              </w:rPr>
              <w:t>532324196506150023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6、寇祯福</w:t>
            </w:r>
          </w:p>
        </w:tc>
        <w:tc>
          <w:tcPr>
            <w:tcW w:w="2310" w:type="dxa"/>
            <w:vAlign w:val="center"/>
            <w:gridSpan w:val="2"/>
          </w:tcPr>
          <w:p>
            <w:pPr/>
            <w:r>
              <w:rPr>
                <w:lang w:val="zh-CN"/>
                <w:rFonts w:ascii="Times New Roman" w:hAnsi="Times New Roman" w:cs="Times New Roman"/>
                <w:sz w:val="20"/>
                <w:szCs w:val="20"/>
                <w:color w:val="000000"/>
              </w:rPr>
              <w:t>532324196411222119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7、李恒一</w:t>
            </w:r>
          </w:p>
        </w:tc>
        <w:tc>
          <w:tcPr>
            <w:tcW w:w="2310" w:type="dxa"/>
            <w:vAlign w:val="center"/>
            <w:gridSpan w:val="2"/>
          </w:tcPr>
          <w:p>
            <w:pPr/>
            <w:r>
              <w:rPr>
                <w:lang w:val="zh-CN"/>
                <w:rFonts w:ascii="Times New Roman" w:hAnsi="Times New Roman" w:cs="Times New Roman"/>
                <w:sz w:val="20"/>
                <w:szCs w:val="20"/>
                <w:color w:val="000000"/>
              </w:rPr>
              <w:t>532324197011092129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8、杨晓海</w:t>
            </w:r>
          </w:p>
        </w:tc>
        <w:tc>
          <w:tcPr>
            <w:tcW w:w="2310" w:type="dxa"/>
            <w:vAlign w:val="center"/>
            <w:gridSpan w:val="2"/>
          </w:tcPr>
          <w:p>
            <w:pPr/>
            <w:r>
              <w:rPr>
                <w:lang w:val="zh-CN"/>
                <w:rFonts w:ascii="Times New Roman" w:hAnsi="Times New Roman" w:cs="Times New Roman"/>
                <w:sz w:val="20"/>
                <w:szCs w:val="20"/>
                <w:color w:val="000000"/>
              </w:rPr>
              <w:t>532325196508010055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9、邓明</w:t>
            </w:r>
          </w:p>
        </w:tc>
        <w:tc>
          <w:tcPr>
            <w:tcW w:w="2310" w:type="dxa"/>
            <w:vAlign w:val="center"/>
            <w:gridSpan w:val="2"/>
          </w:tcPr>
          <w:p>
            <w:pPr/>
            <w:r>
              <w:rPr>
                <w:lang w:val="zh-CN"/>
                <w:rFonts w:ascii="Times New Roman" w:hAnsi="Times New Roman" w:cs="Times New Roman"/>
                <w:sz w:val="20"/>
                <w:szCs w:val="20"/>
                <w:color w:val="000000"/>
              </w:rPr>
              <w:t>532325196501210011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10、甘声洪</w:t>
            </w:r>
          </w:p>
        </w:tc>
        <w:tc>
          <w:tcPr>
            <w:tcW w:w="2310" w:type="dxa"/>
            <w:vAlign w:val="center"/>
            <w:gridSpan w:val="2"/>
          </w:tcPr>
          <w:p>
            <w:pPr/>
            <w:r>
              <w:rPr>
                <w:lang w:val="zh-CN"/>
                <w:rFonts w:ascii="Times New Roman" w:hAnsi="Times New Roman" w:cs="Times New Roman"/>
                <w:sz w:val="20"/>
                <w:szCs w:val="20"/>
                <w:color w:val="000000"/>
              </w:rPr>
              <w:t>532325196405300017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11、张忠顺</w:t>
            </w:r>
          </w:p>
        </w:tc>
        <w:tc>
          <w:tcPr>
            <w:tcW w:w="2310" w:type="dxa"/>
            <w:vAlign w:val="center"/>
            <w:gridSpan w:val="2"/>
          </w:tcPr>
          <w:p>
            <w:pPr/>
            <w:r>
              <w:rPr>
                <w:lang w:val="zh-CN"/>
                <w:rFonts w:ascii="Times New Roman" w:hAnsi="Times New Roman" w:cs="Times New Roman"/>
                <w:sz w:val="20"/>
                <w:szCs w:val="20"/>
                <w:color w:val="000000"/>
              </w:rPr>
              <w:t>532325196509040010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12、汤明华</w:t>
            </w:r>
          </w:p>
        </w:tc>
        <w:tc>
          <w:tcPr>
            <w:tcW w:w="2310" w:type="dxa"/>
            <w:vAlign w:val="center"/>
            <w:gridSpan w:val="2"/>
          </w:tcPr>
          <w:p>
            <w:pPr/>
            <w:r>
              <w:rPr>
                <w:lang w:val="zh-CN"/>
                <w:rFonts w:ascii="Times New Roman" w:hAnsi="Times New Roman" w:cs="Times New Roman"/>
                <w:sz w:val="20"/>
                <w:szCs w:val="20"/>
                <w:color w:val="000000"/>
              </w:rPr>
              <w:t>532325196509270019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13、郭正荣</w:t>
            </w:r>
          </w:p>
        </w:tc>
        <w:tc>
          <w:tcPr>
            <w:tcW w:w="2310" w:type="dxa"/>
            <w:vAlign w:val="center"/>
            <w:gridSpan w:val="2"/>
          </w:tcPr>
          <w:p>
            <w:pPr/>
            <w:r>
              <w:rPr>
                <w:lang w:val="zh-CN"/>
                <w:rFonts w:ascii="Times New Roman" w:hAnsi="Times New Roman" w:cs="Times New Roman"/>
                <w:sz w:val="20"/>
                <w:szCs w:val="20"/>
                <w:color w:val="000000"/>
              </w:rPr>
              <w:t>532324196505090014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14、陈思萍</w:t>
            </w:r>
          </w:p>
        </w:tc>
        <w:tc>
          <w:tcPr>
            <w:tcW w:w="2310" w:type="dxa"/>
            <w:vAlign w:val="center"/>
            <w:gridSpan w:val="2"/>
          </w:tcPr>
          <w:p>
            <w:pPr/>
            <w:r>
              <w:rPr>
                <w:lang w:val="zh-CN"/>
                <w:rFonts w:ascii="Times New Roman" w:hAnsi="Times New Roman" w:cs="Times New Roman"/>
                <w:sz w:val="20"/>
                <w:szCs w:val="20"/>
                <w:color w:val="000000"/>
              </w:rPr>
              <w:t>532324197004042721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15、周建光</w:t>
            </w:r>
          </w:p>
        </w:tc>
        <w:tc>
          <w:tcPr>
            <w:tcW w:w="2310" w:type="dxa"/>
            <w:vAlign w:val="center"/>
            <w:gridSpan w:val="2"/>
          </w:tcPr>
          <w:p>
            <w:pPr/>
            <w:r>
              <w:rPr>
                <w:lang w:val="zh-CN"/>
                <w:rFonts w:ascii="Times New Roman" w:hAnsi="Times New Roman" w:cs="Times New Roman"/>
                <w:sz w:val="20"/>
                <w:szCs w:val="20"/>
                <w:color w:val="000000"/>
              </w:rPr>
              <w:t>532324195805090513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16、许华兰</w:t>
            </w:r>
          </w:p>
        </w:tc>
        <w:tc>
          <w:tcPr>
            <w:tcW w:w="2310" w:type="dxa"/>
            <w:vAlign w:val="center"/>
            <w:gridSpan w:val="2"/>
          </w:tcPr>
          <w:p>
            <w:pPr/>
            <w:r>
              <w:rPr>
                <w:lang w:val="zh-CN"/>
                <w:rFonts w:ascii="Times New Roman" w:hAnsi="Times New Roman" w:cs="Times New Roman"/>
                <w:sz w:val="20"/>
                <w:szCs w:val="20"/>
                <w:color w:val="000000"/>
              </w:rPr>
              <w:t>532324196110060523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17、徐荣华</w:t>
            </w:r>
          </w:p>
        </w:tc>
        <w:tc>
          <w:tcPr>
            <w:tcW w:w="2310" w:type="dxa"/>
            <w:vAlign w:val="center"/>
            <w:gridSpan w:val="2"/>
          </w:tcPr>
          <w:p>
            <w:pPr/>
            <w:r>
              <w:rPr>
                <w:lang w:val="zh-CN"/>
                <w:rFonts w:ascii="Times New Roman" w:hAnsi="Times New Roman" w:cs="Times New Roman"/>
                <w:sz w:val="20"/>
                <w:szCs w:val="20"/>
                <w:color w:val="000000"/>
              </w:rPr>
              <w:t>532325195410240712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18、李琼仙</w:t>
            </w:r>
          </w:p>
        </w:tc>
        <w:tc>
          <w:tcPr>
            <w:tcW w:w="2310" w:type="dxa"/>
            <w:vAlign w:val="center"/>
            <w:gridSpan w:val="2"/>
          </w:tcPr>
          <w:p>
            <w:pPr/>
            <w:r>
              <w:rPr>
                <w:lang w:val="zh-CN"/>
                <w:rFonts w:ascii="Times New Roman" w:hAnsi="Times New Roman" w:cs="Times New Roman"/>
                <w:sz w:val="20"/>
                <w:szCs w:val="20"/>
                <w:color w:val="000000"/>
              </w:rPr>
              <w:t>532325196302130721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19、刘海鹂</w:t>
            </w:r>
          </w:p>
        </w:tc>
        <w:tc>
          <w:tcPr>
            <w:tcW w:w="2310" w:type="dxa"/>
            <w:vAlign w:val="center"/>
            <w:gridSpan w:val="2"/>
          </w:tcPr>
          <w:p>
            <w:pPr/>
            <w:r>
              <w:rPr>
                <w:lang w:val="zh-CN"/>
                <w:rFonts w:ascii="Times New Roman" w:hAnsi="Times New Roman" w:cs="Times New Roman"/>
                <w:sz w:val="20"/>
                <w:szCs w:val="20"/>
                <w:color w:val="000000"/>
              </w:rPr>
              <w:t>532324197102280029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20、刘海燕</w:t>
            </w:r>
          </w:p>
        </w:tc>
        <w:tc>
          <w:tcPr>
            <w:tcW w:w="2310" w:type="dxa"/>
            <w:vAlign w:val="center"/>
            <w:gridSpan w:val="2"/>
          </w:tcPr>
          <w:p>
            <w:pPr/>
            <w:r>
              <w:rPr>
                <w:lang w:val="zh-CN"/>
                <w:rFonts w:ascii="Times New Roman" w:hAnsi="Times New Roman" w:cs="Times New Roman"/>
                <w:sz w:val="20"/>
                <w:szCs w:val="20"/>
                <w:color w:val="000000"/>
              </w:rPr>
              <w:t>532324197311060022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21、徐建琼</w:t>
            </w:r>
          </w:p>
        </w:tc>
        <w:tc>
          <w:tcPr>
            <w:tcW w:w="2310" w:type="dxa"/>
            <w:vAlign w:val="center"/>
            <w:gridSpan w:val="2"/>
          </w:tcPr>
          <w:p>
            <w:pPr/>
            <w:r>
              <w:rPr>
                <w:lang w:val="zh-CN"/>
                <w:rFonts w:ascii="Times New Roman" w:hAnsi="Times New Roman" w:cs="Times New Roman"/>
                <w:sz w:val="20"/>
                <w:szCs w:val="20"/>
                <w:color w:val="000000"/>
              </w:rPr>
              <w:t>532325197108100726</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21</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58380.00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总金额：伍万捌仟叁佰捌拾元整</w:t>
            </w:r>
          </w:p>
        </w:tc>
        <w:tc>
          <w:tcPr>
            <w:tcW w:w="2310" w:type="dxa"/>
            <w:textDirection w:val="right"/>
            <w:gridSpan w:val="3"/>
          </w:tcPr>
          <w:p>
            <w:pPr/>
            <w:r>
              <w:rPr>
                <w:lang w:val="zh-CN"/>
                <w:rFonts w:ascii="Times New Roman" w:hAnsi="Times New Roman" w:cs="Times New Roman"/>
                <w:b/>
                <w:color w:val="FF0000"/>
              </w:rPr>
              <w:t>58380.00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昆明→上海(飞机)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昆明集合出发，飞机前往上海。我社师傅导游接站后，入住酒店；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外滩南京路→城隍庙→中华艺术宫(巴士)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城隍庙小吃街是上海著名的美食街之一，以汇聚大江南北各地美食而闻名，可自由品尝老上海美食。参观【中华艺术宫】由中国2010年上海世博会中国国家馆改建而成，于2012年10月1日开馆，总建筑面积16.68万平米，展示面积近7万平米，拥有35个展厅。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丝绸博物馆→乌镇东栅→杭州西湖→船游西湖(巴士)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丝绸博物馆】约60分钟，是一家集丝绸文化为一体，大型综合性博物馆（备注：此景点内有购物场所，如需要请谨慎购买并索要发票）。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游览【西湖景区】（特别安排船游西湖）漫步苏堤，游览曲院风荷,西湖十景之一，著名赏荷胜地等，苏堤春晓（西湖十景之一，移步换景，近距离颀赏西湖）；车游钱塘江风光，观六和塔外景，品尝杭州风味茶餐（龙井御茶宴）西湖风景区涉及黄金周、节假日、周末，旅游旺季，实行交通管制，小车，大巴车均禁止进入，客人需要换乘景区公交车，交通方式自理：①普通公交车，市民游客混座往返10元/人；②一站式接驳车：单程：20元/人；③包车服务：500元/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苏和盛珍珠博物馆→耦园→周庄→七里山塘→无锡三国城(巴士)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苏和盛珍珠博物馆】约60分钟，了解珍珠的生成过程，自由参观购物（非传统购物店，如需购买请索取小票）。游览世界文化遗产、苏州名园【耦园】，耦园原名涉园，位于江苏省苏州市仓街小新桥巷，为清顺治年间保宁知府陆锦所筑，取陶渊明《归去来兮辞》中的"园日涉以成趣"之意，黄石假山是耦园的特色。耦园为全国重点文物保护单位，已被联合国教科文组织列入世界文化遗产。此园因在住宅东西两侧各有一园，故名耦园。南北驳岸码头是耦园特色之一，尽显姑苏"人家尽枕河"的特色。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影视基地【三国城】(乘仿古战船畅游太湖)；为拍摄《三国演义》而兴建的大型影视文化景区，“刘备招亲”、“火烧赤壁”、“横槊赋诗”、“草船借箭”、“借东风”、“诸葛吊孝”、“舌战群儒”等十多集的重场戏均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中山陵→雨花台→秦淮河夫子庙→东关古街→北京；(火车)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南京，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后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后火车硬卧前往北京，夜宿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天坛公园（通票）→颐和园→清华/北大外景→军博或首博(巴士)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公园】(通票）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游览世界上最美丽的皇家园林【颐和园】，是保存最完整的一座皇行宫御苑，被誉为“皇家园林博物馆”有山有水有画，十里青山行画里，双飞白鸟似江南的园林风光。前往海淀区观清华/北大外景，拍照留念。前往【中国人民革命军事博物馆】或【首都博物馆】（门票实行预约制，如预约不上，则安排首都博物馆或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早餐：；午餐：；晚餐：；住宿：北京</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升旗仪式→八达岭长城→外观奥林匹克公园(巴士)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参观【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天安门广场→故宫→景山公园→什刹海→前门大街(巴士)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或预约不上则不能入内参观，改为参观外景）。瞻仰【人民英雄纪念碑】外观【人民大会堂外观】【国家大剧院外观】。游览全世界最大的宫殿建筑群【故宫博物院】门票实行预约制，如预约不上，退还门票或者替换成其他可替换的景点；（约2小时）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特别赠送：含乘坐故宫摆渡车+故宫耳机）乘车前往北京非常著名的商业街【前门大街】。后前往【景山公园】位于北京市西城区景山前街，过去是明清两代的皇家园林。其西侧紧邻北海，南边与故宫神武门隔街相望，可以俯瞰故宫。景山公园的中心是一座人工堆砌的山峰——景山，在历史上曾是整个城市的制高点。这座山峰不仅为公园增添了一道独特的风景线，还承载着重要的历史和文化意义。午餐后游览“亚洲最佳风情胜地”中国最美城区【什刹海风景区】（约30分钟）什刹海的前海、后海，连同西海，面积约34万平方米。外观京城最高的古建筑之一【鼓楼】。北京鼓楼大街古朴厚重，两旁分布着四通八达的胡同、许多老字号商店与各种各样老北京小吃，而如今的鼓楼大街已逐渐弥漫着时尚的气息，古典与现代的融合使鼓楼大街焕发新的生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周邓纪念馆→古文化街→食品街→意大利风情街(巴士)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2025/10/27</w:t>
            </w:r>
          </w:p>
        </w:tc>
        <w:tc>
          <w:tcPr>
            <w:tcW w:w="2310" w:type="dxa"/>
            <w:gridSpan w:val="7"/>
          </w:tcPr>
          <w:p>
            <w:pPr/>
            <w:r>
              <w:rPr>
                <w:lang w:val="zh-CN"/>
                <w:rFonts w:ascii="Times New Roman" w:hAnsi="Times New Roman" w:cs="Times New Roman"/>
                <w:b/>
                <w:color w:val="000000"/>
              </w:rPr>
              <w:t>北京→昆明(飞机)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早餐后，根据航班时间返回昆明，结束愉快之旅！！！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2、交通服务：昆明-上海/北京-昆明飞机经济舱含税机票，华东到北京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热早餐，如果您对餐饮有较高需求请谨慎选择此产品。特色餐饮：京津段：文旅演艺餐【永乐家宴】品便宜坊烤鸭+赏宫廷演艺+惊喜大互动+换装打卡；北京饺子宴（25），北京自助餐（30）；品尝天津狗不理包子（25）；其他餐标20元/人华东段：无锡酱排骨（25），南京盐水鸭（20），龙井御茶宴（30），太湖河鲜宴（20），水乡特色宴（25），其他餐标20元/人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黄包车200元/人；2、奥运杂技演出220元/人；3、天津极地海洋馆240元/人；4、慈禧水道150元/人；华东段：1、夜游上海登高套餐320元/人2、宋城千古情园区+表演320元/人3、苏州游船150元/人凡是参加自费项目的团员所有的优惠证件不予以使用（如老年证、学生证、教师证等）。不参加自费的游客，请在景区附近自由活动或休息，等待参加自费团友游览结束后一起返回酒店。购物安排京津段：天津麻花非传统购物费（如需购买请索取小票）华东段：苏和盛珍珠博物馆，丝绸博物馆。（非传统购物店，如需购买请索取小票）车销不算购物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旅游旺季，实行交通管制，小车，大巴车均禁止进入，客人需要换乘景区公交车，交通方式：①普通公交车，市民游客混座的单趟5元/人，往返10元/人；②一站式接驳车：单程：20元/人；③包车服务：500元/趟，最大限乘50个人，具体当天以景区安排为准，敬请谅解。。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陈红</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杜国权</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2025/10/16 15:14:07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