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云南全季旅行社有限公司团队/散客确认书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中旺世贸广场门市部古凌</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古凌</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19187151121</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杜国权</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18987120613</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BH-CGT10FJ261022A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10-22锦绣京华-上进北出-北京天津华东双飞单卧10日</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2026-10-22</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2026-10-31</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18(18大)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2026-10-22 CZ3678 昆明→上海 12:15-15:30</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启程 2026-10-31 CZ3901 北京→昆明 08:30-11:5</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1、熊金友</w:t>
            </w:r>
          </w:p>
        </w:tc>
        <w:tc>
          <w:tcPr>
            <w:tcW w:w="2310" w:type="dxa"/>
            <w:vAlign w:val="center"/>
            <w:gridSpan w:val="2"/>
          </w:tcPr>
          <w:p>
            <w:pPr/>
            <w:r>
              <w:rPr>
                <w:lang w:val="zh-CN"/>
                <w:rFonts w:ascii="Times New Roman" w:hAnsi="Times New Roman" w:cs="Times New Roman"/>
                <w:sz w:val="20"/>
                <w:szCs w:val="20"/>
                <w:color w:val="000000"/>
              </w:rPr>
              <w:t>53012319490116331X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2、李双琼</w:t>
            </w:r>
          </w:p>
        </w:tc>
        <w:tc>
          <w:tcPr>
            <w:tcW w:w="2310" w:type="dxa"/>
            <w:vAlign w:val="center"/>
            <w:gridSpan w:val="2"/>
          </w:tcPr>
          <w:p>
            <w:pPr/>
            <w:r>
              <w:rPr>
                <w:lang w:val="zh-CN"/>
                <w:rFonts w:ascii="Times New Roman" w:hAnsi="Times New Roman" w:cs="Times New Roman"/>
                <w:sz w:val="20"/>
                <w:szCs w:val="20"/>
                <w:color w:val="000000"/>
              </w:rPr>
              <w:t>53018119711127336X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3、李翠芝</w:t>
            </w:r>
          </w:p>
        </w:tc>
        <w:tc>
          <w:tcPr>
            <w:tcW w:w="2310" w:type="dxa"/>
            <w:vAlign w:val="center"/>
            <w:gridSpan w:val="2"/>
          </w:tcPr>
          <w:p>
            <w:pPr/>
            <w:r>
              <w:rPr>
                <w:lang w:val="zh-CN"/>
                <w:rFonts w:ascii="Times New Roman" w:hAnsi="Times New Roman" w:cs="Times New Roman"/>
                <w:sz w:val="20"/>
                <w:szCs w:val="20"/>
                <w:color w:val="000000"/>
              </w:rPr>
              <w:t>530123195606053323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4、武令仙</w:t>
            </w:r>
          </w:p>
        </w:tc>
        <w:tc>
          <w:tcPr>
            <w:tcW w:w="2310" w:type="dxa"/>
            <w:vAlign w:val="center"/>
            <w:gridSpan w:val="2"/>
          </w:tcPr>
          <w:p>
            <w:pPr/>
            <w:r>
              <w:rPr>
                <w:lang w:val="zh-CN"/>
                <w:rFonts w:ascii="Times New Roman" w:hAnsi="Times New Roman" w:cs="Times New Roman"/>
                <w:sz w:val="20"/>
                <w:szCs w:val="20"/>
                <w:color w:val="000000"/>
              </w:rPr>
              <w:t>530181196807153329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5、武惠琼</w:t>
            </w:r>
          </w:p>
        </w:tc>
        <w:tc>
          <w:tcPr>
            <w:tcW w:w="2310" w:type="dxa"/>
            <w:vAlign w:val="center"/>
            <w:gridSpan w:val="2"/>
          </w:tcPr>
          <w:p>
            <w:pPr/>
            <w:r>
              <w:rPr>
                <w:lang w:val="zh-CN"/>
                <w:rFonts w:ascii="Times New Roman" w:hAnsi="Times New Roman" w:cs="Times New Roman"/>
                <w:sz w:val="20"/>
                <w:szCs w:val="20"/>
                <w:color w:val="000000"/>
              </w:rPr>
              <w:t>530181197512101542</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6、付丽珍</w:t>
            </w:r>
          </w:p>
        </w:tc>
        <w:tc>
          <w:tcPr>
            <w:tcW w:w="2310" w:type="dxa"/>
            <w:vAlign w:val="center"/>
            <w:gridSpan w:val="2"/>
          </w:tcPr>
          <w:p>
            <w:pPr/>
            <w:r>
              <w:rPr>
                <w:lang w:val="zh-CN"/>
                <w:rFonts w:ascii="Times New Roman" w:hAnsi="Times New Roman" w:cs="Times New Roman"/>
                <w:sz w:val="20"/>
                <w:szCs w:val="20"/>
                <w:color w:val="000000"/>
              </w:rPr>
              <w:t>530123196602093322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7、张春芝</w:t>
            </w:r>
          </w:p>
        </w:tc>
        <w:tc>
          <w:tcPr>
            <w:tcW w:w="2310" w:type="dxa"/>
            <w:vAlign w:val="center"/>
            <w:gridSpan w:val="2"/>
          </w:tcPr>
          <w:p>
            <w:pPr/>
            <w:r>
              <w:rPr>
                <w:lang w:val="zh-CN"/>
                <w:rFonts w:ascii="Times New Roman" w:hAnsi="Times New Roman" w:cs="Times New Roman"/>
                <w:sz w:val="20"/>
                <w:szCs w:val="20"/>
                <w:color w:val="000000"/>
              </w:rPr>
              <w:t>530123196305061527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8、罗琼双</w:t>
            </w:r>
          </w:p>
        </w:tc>
        <w:tc>
          <w:tcPr>
            <w:tcW w:w="2310" w:type="dxa"/>
            <w:vAlign w:val="center"/>
            <w:gridSpan w:val="2"/>
          </w:tcPr>
          <w:p>
            <w:pPr/>
            <w:r>
              <w:rPr>
                <w:lang w:val="zh-CN"/>
                <w:rFonts w:ascii="Times New Roman" w:hAnsi="Times New Roman" w:cs="Times New Roman"/>
                <w:sz w:val="20"/>
                <w:szCs w:val="20"/>
                <w:color w:val="000000"/>
              </w:rPr>
              <w:t>530123196809073329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9、李发芝</w:t>
            </w:r>
          </w:p>
        </w:tc>
        <w:tc>
          <w:tcPr>
            <w:tcW w:w="2310" w:type="dxa"/>
            <w:vAlign w:val="center"/>
            <w:gridSpan w:val="2"/>
          </w:tcPr>
          <w:p>
            <w:pPr/>
            <w:r>
              <w:rPr>
                <w:lang w:val="zh-CN"/>
                <w:rFonts w:ascii="Times New Roman" w:hAnsi="Times New Roman" w:cs="Times New Roman"/>
                <w:sz w:val="20"/>
                <w:szCs w:val="20"/>
                <w:color w:val="000000"/>
              </w:rPr>
              <w:t>530123195405093329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10、冯忠翠</w:t>
            </w:r>
          </w:p>
        </w:tc>
        <w:tc>
          <w:tcPr>
            <w:tcW w:w="2310" w:type="dxa"/>
            <w:vAlign w:val="center"/>
            <w:gridSpan w:val="2"/>
          </w:tcPr>
          <w:p>
            <w:pPr/>
            <w:r>
              <w:rPr>
                <w:lang w:val="zh-CN"/>
                <w:rFonts w:ascii="Times New Roman" w:hAnsi="Times New Roman" w:cs="Times New Roman"/>
                <w:sz w:val="20"/>
                <w:szCs w:val="20"/>
                <w:color w:val="000000"/>
              </w:rPr>
              <w:t>532331197609102620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11、余菊兰</w:t>
            </w:r>
          </w:p>
        </w:tc>
        <w:tc>
          <w:tcPr>
            <w:tcW w:w="2310" w:type="dxa"/>
            <w:vAlign w:val="center"/>
            <w:gridSpan w:val="2"/>
          </w:tcPr>
          <w:p>
            <w:pPr/>
            <w:r>
              <w:rPr>
                <w:lang w:val="zh-CN"/>
                <w:rFonts w:ascii="Times New Roman" w:hAnsi="Times New Roman" w:cs="Times New Roman"/>
                <w:sz w:val="20"/>
                <w:szCs w:val="20"/>
                <w:color w:val="000000"/>
              </w:rPr>
              <w:t>530181197102043343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12、杨美琼</w:t>
            </w:r>
          </w:p>
        </w:tc>
        <w:tc>
          <w:tcPr>
            <w:tcW w:w="2310" w:type="dxa"/>
            <w:vAlign w:val="center"/>
            <w:gridSpan w:val="2"/>
          </w:tcPr>
          <w:p>
            <w:pPr/>
            <w:r>
              <w:rPr>
                <w:lang w:val="zh-CN"/>
                <w:rFonts w:ascii="Times New Roman" w:hAnsi="Times New Roman" w:cs="Times New Roman"/>
                <w:sz w:val="20"/>
                <w:szCs w:val="20"/>
                <w:color w:val="000000"/>
              </w:rPr>
              <w:t>530181196312013340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13、杨能</w:t>
            </w:r>
          </w:p>
        </w:tc>
        <w:tc>
          <w:tcPr>
            <w:tcW w:w="2310" w:type="dxa"/>
            <w:vAlign w:val="center"/>
            <w:gridSpan w:val="2"/>
          </w:tcPr>
          <w:p>
            <w:pPr/>
            <w:r>
              <w:rPr>
                <w:lang w:val="zh-CN"/>
                <w:rFonts w:ascii="Times New Roman" w:hAnsi="Times New Roman" w:cs="Times New Roman"/>
                <w:sz w:val="20"/>
                <w:szCs w:val="20"/>
                <w:color w:val="000000"/>
              </w:rPr>
              <w:t>530123196611203319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14、罗风莲</w:t>
            </w:r>
          </w:p>
        </w:tc>
        <w:tc>
          <w:tcPr>
            <w:tcW w:w="2310" w:type="dxa"/>
            <w:vAlign w:val="center"/>
            <w:gridSpan w:val="2"/>
          </w:tcPr>
          <w:p>
            <w:pPr/>
            <w:r>
              <w:rPr>
                <w:lang w:val="zh-CN"/>
                <w:rFonts w:ascii="Times New Roman" w:hAnsi="Times New Roman" w:cs="Times New Roman"/>
                <w:sz w:val="20"/>
                <w:szCs w:val="20"/>
                <w:color w:val="000000"/>
              </w:rPr>
              <w:t>53012319640827332X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15、李许平</w:t>
            </w:r>
          </w:p>
        </w:tc>
        <w:tc>
          <w:tcPr>
            <w:tcW w:w="2310" w:type="dxa"/>
            <w:vAlign w:val="center"/>
            <w:gridSpan w:val="2"/>
          </w:tcPr>
          <w:p>
            <w:pPr/>
            <w:r>
              <w:rPr>
                <w:lang w:val="zh-CN"/>
                <w:rFonts w:ascii="Times New Roman" w:hAnsi="Times New Roman" w:cs="Times New Roman"/>
                <w:sz w:val="20"/>
                <w:szCs w:val="20"/>
                <w:color w:val="000000"/>
              </w:rPr>
              <w:t>530123197804193326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16、张玉保</w:t>
            </w:r>
          </w:p>
        </w:tc>
        <w:tc>
          <w:tcPr>
            <w:tcW w:w="2310" w:type="dxa"/>
            <w:vAlign w:val="center"/>
            <w:gridSpan w:val="2"/>
          </w:tcPr>
          <w:p>
            <w:pPr/>
            <w:r>
              <w:rPr>
                <w:lang w:val="zh-CN"/>
                <w:rFonts w:ascii="Times New Roman" w:hAnsi="Times New Roman" w:cs="Times New Roman"/>
                <w:sz w:val="20"/>
                <w:szCs w:val="20"/>
                <w:color w:val="000000"/>
              </w:rPr>
              <w:t>530123195408183311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17、杨美凤</w:t>
            </w:r>
          </w:p>
        </w:tc>
        <w:tc>
          <w:tcPr>
            <w:tcW w:w="2310" w:type="dxa"/>
            <w:vAlign w:val="center"/>
            <w:gridSpan w:val="2"/>
          </w:tcPr>
          <w:p>
            <w:pPr/>
            <w:r>
              <w:rPr>
                <w:lang w:val="zh-CN"/>
                <w:rFonts w:ascii="Times New Roman" w:hAnsi="Times New Roman" w:cs="Times New Roman"/>
                <w:sz w:val="20"/>
                <w:szCs w:val="20"/>
                <w:color w:val="000000"/>
              </w:rPr>
              <w:t>530123195607223523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18、杨美珍</w:t>
            </w:r>
          </w:p>
        </w:tc>
        <w:tc>
          <w:tcPr>
            <w:tcW w:w="2310" w:type="dxa"/>
            <w:vAlign w:val="center"/>
            <w:gridSpan w:val="2"/>
          </w:tcPr>
          <w:p>
            <w:pPr/>
            <w:r>
              <w:rPr>
                <w:lang w:val="zh-CN"/>
                <w:rFonts w:ascii="Times New Roman" w:hAnsi="Times New Roman" w:cs="Times New Roman"/>
                <w:sz w:val="20"/>
                <w:szCs w:val="20"/>
                <w:color w:val="000000"/>
              </w:rPr>
              <w:t>53012319530705334X</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18</w:t>
            </w:r>
          </w:p>
        </w:tc>
        <w:tc>
          <w:tcPr>
            <w:tcW w:w="2310" w:type="dxa"/>
          </w:tcPr>
          <w:p>
            <w:pPr/>
            <w:r>
              <w:rPr>
                <w:lang w:val="zh-CN"/>
                <w:rFonts w:ascii="Times New Roman" w:hAnsi="Times New Roman" w:cs="Times New Roman"/>
                <w:sz w:val="20"/>
                <w:szCs w:val="20"/>
                <w:color w:val="000000"/>
              </w:rPr>
              <w:t>4180.00</w:t>
            </w:r>
          </w:p>
        </w:tc>
        <w:tc>
          <w:tcPr>
            <w:tcW w:w="2310" w:type="dxa"/>
          </w:tcPr>
          <w:p>
            <w:pPr/>
            <w:r>
              <w:rPr>
                <w:lang w:val="zh-CN"/>
                <w:rFonts w:ascii="Times New Roman" w:hAnsi="Times New Roman" w:cs="Times New Roman"/>
                <w:sz w:val="20"/>
                <w:szCs w:val="20"/>
                <w:color w:val="000000"/>
              </w:rPr>
              <w:t>75240.00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总金额：柒万伍仟贰佰肆拾元整</w:t>
            </w:r>
          </w:p>
        </w:tc>
        <w:tc>
          <w:tcPr>
            <w:tcW w:w="2310" w:type="dxa"/>
            <w:textDirection w:val="right"/>
            <w:gridSpan w:val="3"/>
          </w:tcPr>
          <w:p>
            <w:pPr/>
            <w:r>
              <w:rPr>
                <w:lang w:val="zh-CN"/>
                <w:rFonts w:ascii="Times New Roman" w:hAnsi="Times New Roman" w:cs="Times New Roman"/>
                <w:b/>
                <w:color w:val="FF0000"/>
              </w:rPr>
              <w:t>75240.00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富滇银行股份有限公司昆明白塔支行</w:t>
            </w:r>
          </w:p>
        </w:tc>
        <w:tc>
          <w:tcPr>
            <w:tcW w:w="2310" w:type="dxa"/>
            <w:gridSpan w:val="2"/>
          </w:tcPr>
          <w:p>
            <w:pPr/>
            <w:r>
              <w:rPr>
                <w:lang w:val="zh-CN"/>
                <w:rFonts w:ascii="Times New Roman" w:hAnsi="Times New Roman" w:cs="Times New Roman"/>
                <w:sz w:val="20"/>
                <w:szCs w:val="20"/>
                <w:color w:val="000000"/>
              </w:rPr>
              <w:t>昆明康辉旅行社有限公司</w:t>
            </w:r>
          </w:p>
        </w:tc>
        <w:tc>
          <w:tcPr>
            <w:tcW w:w="2310" w:type="dxa"/>
            <w:gridSpan w:val="3"/>
          </w:tcPr>
          <w:p>
            <w:pPr/>
            <w:r>
              <w:rPr>
                <w:lang w:val="zh-CN"/>
                <w:rFonts w:ascii="Times New Roman" w:hAnsi="Times New Roman" w:cs="Times New Roman"/>
                <w:sz w:val="20"/>
                <w:szCs w:val="20"/>
                <w:color w:val="000000"/>
              </w:rPr>
              <w:t>927011010000838038</w:t>
            </w:r>
          </w:p>
        </w:tc>
      </w:tr>
      <w:tr>
        <w:tc>
          <w:tcPr>
            <w:tcW w:w="2310" w:type="dxa"/>
            <w:gridSpan w:val="3"/>
          </w:tcPr>
          <w:p>
            <w:pPr/>
            <w:r>
              <w:rPr>
                <w:lang w:val="zh-CN"/>
                <w:rFonts w:ascii="Times New Roman" w:hAnsi="Times New Roman" w:cs="Times New Roman"/>
                <w:sz w:val="20"/>
                <w:szCs w:val="20"/>
                <w:color w:val="000000"/>
              </w:rPr>
              <w:t>中国银行昆明市环城南路支行</w:t>
            </w:r>
          </w:p>
        </w:tc>
        <w:tc>
          <w:tcPr>
            <w:tcW w:w="2310" w:type="dxa"/>
            <w:gridSpan w:val="2"/>
          </w:tcPr>
          <w:p>
            <w:pPr/>
            <w:r>
              <w:rPr>
                <w:lang w:val="zh-CN"/>
                <w:rFonts w:ascii="Times New Roman" w:hAnsi="Times New Roman" w:cs="Times New Roman"/>
                <w:sz w:val="20"/>
                <w:szCs w:val="20"/>
                <w:color w:val="000000"/>
              </w:rPr>
              <w:t>王美</w:t>
            </w:r>
          </w:p>
        </w:tc>
        <w:tc>
          <w:tcPr>
            <w:tcW w:w="2310" w:type="dxa"/>
            <w:gridSpan w:val="3"/>
          </w:tcPr>
          <w:p>
            <w:pPr/>
            <w:r>
              <w:rPr>
                <w:lang w:val="zh-CN"/>
                <w:rFonts w:ascii="Times New Roman" w:hAnsi="Times New Roman" w:cs="Times New Roman"/>
                <w:sz w:val="20"/>
                <w:szCs w:val="20"/>
                <w:color w:val="000000"/>
              </w:rPr>
              <w:t>6217 9027 0000 6040 008</w:t>
            </w:r>
          </w:p>
        </w:tc>
      </w:tr>
      <w:tr>
        <w:tc>
          <w:tcPr>
            <w:tcW w:w="2310" w:type="dxa"/>
            <w:gridSpan w:val="3"/>
          </w:tcPr>
          <w:p>
            <w:pPr/>
            <w:r>
              <w:rPr>
                <w:lang w:val="zh-CN"/>
                <w:rFonts w:ascii="Times New Roman" w:hAnsi="Times New Roman" w:cs="Times New Roman"/>
                <w:sz w:val="20"/>
                <w:szCs w:val="20"/>
                <w:color w:val="000000"/>
              </w:rPr>
              <w:t>中国银行股份有限公司楚雄州开发区支行</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gridSpan w:val="3"/>
          </w:tcPr>
          <w:p>
            <w:pPr/>
            <w:r>
              <w:rPr>
                <w:lang w:val="zh-CN"/>
                <w:rFonts w:ascii="Times New Roman" w:hAnsi="Times New Roman" w:cs="Times New Roman"/>
                <w:sz w:val="20"/>
                <w:szCs w:val="20"/>
                <w:color w:val="000000"/>
              </w:rPr>
              <w:t>135686677700</w:t>
            </w:r>
          </w:p>
        </w:tc>
      </w:tr>
      <w:tr>
        <w:tc>
          <w:tcPr>
            <w:tcW w:w="2310" w:type="dxa"/>
            <w:gridSpan w:val="3"/>
          </w:tcPr>
          <w:p>
            <w:pPr/>
            <w:r>
              <w:rPr>
                <w:lang w:val="zh-CN"/>
                <w:rFonts w:ascii="Times New Roman" w:hAnsi="Times New Roman" w:cs="Times New Roman"/>
                <w:sz w:val="20"/>
                <w:szCs w:val="20"/>
                <w:color w:val="000000"/>
              </w:rPr>
              <w:t>中国银行昆明市北京路支行</w:t>
            </w:r>
          </w:p>
        </w:tc>
        <w:tc>
          <w:tcPr>
            <w:tcW w:w="2310" w:type="dxa"/>
            <w:gridSpan w:val="2"/>
          </w:tcPr>
          <w:p>
            <w:pPr/>
            <w:r>
              <w:rPr>
                <w:lang w:val="zh-CN"/>
                <w:rFonts w:ascii="Times New Roman" w:hAnsi="Times New Roman" w:cs="Times New Roman"/>
                <w:sz w:val="20"/>
                <w:szCs w:val="20"/>
                <w:color w:val="000000"/>
              </w:rPr>
              <w:t>北京嘻道国际旅行社有限公司云南分公司</w:t>
            </w:r>
          </w:p>
        </w:tc>
        <w:tc>
          <w:tcPr>
            <w:tcW w:w="2310" w:type="dxa"/>
            <w:gridSpan w:val="3"/>
          </w:tcPr>
          <w:p>
            <w:pPr/>
            <w:r>
              <w:rPr>
                <w:lang w:val="zh-CN"/>
                <w:rFonts w:ascii="Times New Roman" w:hAnsi="Times New Roman" w:cs="Times New Roman"/>
                <w:sz w:val="20"/>
                <w:szCs w:val="20"/>
                <w:color w:val="000000"/>
              </w:rPr>
              <w:t>134107986557</w:t>
            </w:r>
          </w:p>
        </w:tc>
      </w:tr>
      <w:tr>
        <w:tc>
          <w:tcPr>
            <w:tcW w:w="2310" w:type="dxa"/>
            <w:gridSpan w:val="3"/>
          </w:tcPr>
          <w:p>
            <w:pPr/>
            <w:r>
              <w:rPr>
                <w:lang w:val="zh-CN"/>
                <w:rFonts w:ascii="Times New Roman" w:hAnsi="Times New Roman" w:cs="Times New Roman"/>
                <w:sz w:val="20"/>
                <w:szCs w:val="20"/>
                <w:color w:val="000000"/>
              </w:rPr>
              <w:t>中国银行股份有限公司昆明市长水机场支行</w:t>
            </w:r>
          </w:p>
        </w:tc>
        <w:tc>
          <w:tcPr>
            <w:tcW w:w="2310" w:type="dxa"/>
            <w:gridSpan w:val="2"/>
          </w:tcPr>
          <w:p>
            <w:pPr/>
            <w:r>
              <w:rPr>
                <w:lang w:val="zh-CN"/>
                <w:rFonts w:ascii="Times New Roman" w:hAnsi="Times New Roman" w:cs="Times New Roman"/>
                <w:sz w:val="20"/>
                <w:szCs w:val="20"/>
                <w:color w:val="000000"/>
              </w:rPr>
              <w:t>海外国际旅游集团控股有限公司民航路飞扬分公司</w:t>
            </w:r>
          </w:p>
        </w:tc>
        <w:tc>
          <w:tcPr>
            <w:tcW w:w="2310" w:type="dxa"/>
            <w:gridSpan w:val="3"/>
          </w:tcPr>
          <w:p>
            <w:pPr/>
            <w:r>
              <w:rPr>
                <w:lang w:val="zh-CN"/>
                <w:rFonts w:ascii="Times New Roman" w:hAnsi="Times New Roman" w:cs="Times New Roman"/>
                <w:sz w:val="20"/>
                <w:szCs w:val="20"/>
                <w:color w:val="000000"/>
              </w:rPr>
              <w:t>137306471187</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2026/10/22</w:t>
            </w:r>
          </w:p>
        </w:tc>
        <w:tc>
          <w:tcPr>
            <w:tcW w:w="2310" w:type="dxa"/>
            <w:gridSpan w:val="7"/>
          </w:tcPr>
          <w:p>
            <w:pPr/>
            <w:r>
              <w:rPr>
                <w:lang w:val="zh-CN"/>
                <w:rFonts w:ascii="Times New Roman" w:hAnsi="Times New Roman" w:cs="Times New Roman"/>
                <w:b/>
                <w:color w:val="000000"/>
              </w:rPr>
              <w:t>昆明→上海(汽车、飞机)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昆明集合出发，飞机前往上海。我社师傅导游接站后，入住酒店；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早餐：不含；午餐：不含；晚餐：不含；住宿：上海</w:t>
            </w:r>
          </w:p>
        </w:tc>
      </w:tr>
      <w:tr>
        <w:tc>
          <w:tcPr>
            <w:tcW w:w="2310" w:type="dxa"/>
            <w:vAlign w:val="center"/>
            <w:vMerge w:val="restart"/>
          </w:tcPr>
          <w:p>
            <w:pPr/>
            <w:r>
              <w:rPr>
                <w:lang w:val="zh-CN"/>
                <w:rFonts w:ascii="Times New Roman" w:hAnsi="Times New Roman" w:cs="Times New Roman"/>
                <w:sz w:val="20"/>
                <w:szCs w:val="20"/>
                <w:color w:val="000000"/>
              </w:rPr>
              <w:t>2026/10/23</w:t>
            </w:r>
          </w:p>
        </w:tc>
        <w:tc>
          <w:tcPr>
            <w:tcW w:w="2310" w:type="dxa"/>
            <w:gridSpan w:val="7"/>
          </w:tcPr>
          <w:p>
            <w:pPr/>
            <w:r>
              <w:rPr>
                <w:lang w:val="zh-CN"/>
                <w:rFonts w:ascii="Times New Roman" w:hAnsi="Times New Roman" w:cs="Times New Roman"/>
                <w:b/>
                <w:color w:val="000000"/>
              </w:rPr>
              <w:t>中华艺术宫→外滩南京路→城隍庙→登金茂大厦+船游黄浦江(汽车)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赴上海参观游览【中华艺术宫】（如遇周一闭馆，则外观。）由中国2010年上海世博会中国国家馆改建而成，于2012年10月1日开馆，总建筑面积16.68万平米，展示面积近7万平米，拥有35个展厅。游览【外滩风光带】百年上海滩的标志和象征，万国建筑博览群、黄埔江风光。游览【南京路步行街】（游览时间约1.5小时）老上海十里洋场，中华五星商业街，数以千计的大中小型商场，汇集了中国最全和最时尚的商品；游览【上海城隍庙老街】（游览时间约1小时），自由品尝老上海美食。特别安排【上海夜景套装】登金茂大厦+船游黄浦江：登金茂大厦88层观光厅赏上海夜景，览上海全貌，【船游黄浦江】观外滩两岸夜景，上海夜景被誉为“世界七大夜景之一”，可与美国曼哈顿的夜景相媲美。</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早餐：含；午餐：含；晚餐：含；住宿：上海</w:t>
            </w:r>
          </w:p>
        </w:tc>
      </w:tr>
      <w:tr>
        <w:tc>
          <w:tcPr>
            <w:tcW w:w="2310" w:type="dxa"/>
            <w:vAlign w:val="center"/>
            <w:vMerge w:val="restart"/>
          </w:tcPr>
          <w:p>
            <w:pPr/>
            <w:r>
              <w:rPr>
                <w:lang w:val="zh-CN"/>
                <w:rFonts w:ascii="Times New Roman" w:hAnsi="Times New Roman" w:cs="Times New Roman"/>
                <w:sz w:val="20"/>
                <w:szCs w:val="20"/>
                <w:color w:val="000000"/>
              </w:rPr>
              <w:t>2026/10/24</w:t>
            </w:r>
          </w:p>
        </w:tc>
        <w:tc>
          <w:tcPr>
            <w:tcW w:w="2310" w:type="dxa"/>
            <w:gridSpan w:val="7"/>
          </w:tcPr>
          <w:p>
            <w:pPr/>
            <w:r>
              <w:rPr>
                <w:lang w:val="zh-CN"/>
                <w:rFonts w:ascii="Times New Roman" w:hAnsi="Times New Roman" w:cs="Times New Roman"/>
                <w:b/>
                <w:color w:val="000000"/>
              </w:rPr>
              <w:t>乌镇东栅→杭州西湖→漫步西湖→钱塘江灯光秀(汽车)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千年水乡、似水年华的拍摄地【乌镇东栅】，自古繁华，千百年来，古镇民居临河而建、傍桥而市，镇内民风纯朴，是江南水乡“小桥、流水、人家”的典范，同时乌镇又有其它小镇所没有的临水建筑――水阁，乌镇由此又被称为“中国最后的枕水人家”。逢源姐妹廊桥，财神湾、蓝印花布坊，三白酿酒坊、江南百床馆等；乘车前往杭州，游览【西湖景区】（特别安排西湖接驳车20/人，西湖风景区涉及黄金周、节假日、周末，旅游旺季，实行交通管制，小车，大巴车均禁止进入，客人需要换乘景区公交车）漫步苏堤，游览曲院风荷,西湖十景之一，著名赏荷胜地等，苏堤春晓（西湖十景之一，移步换景，近距离颀赏西湖）；品尝杭州风味茶餐【龙井御茶宴】。【钱江新城灯光秀】钱塘江新城灯光秀是杭州标志性夜景之一，以新城建筑群为幕，结合灯光、音乐与江景，呈现出极具科技感与艺术感的视觉盛宴。</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早餐：含；午餐：含；晚餐：含；住宿：杭州</w:t>
            </w:r>
          </w:p>
        </w:tc>
      </w:tr>
      <w:tr>
        <w:tc>
          <w:tcPr>
            <w:tcW w:w="2310" w:type="dxa"/>
            <w:vAlign w:val="center"/>
            <w:vMerge w:val="restart"/>
          </w:tcPr>
          <w:p>
            <w:pPr/>
            <w:r>
              <w:rPr>
                <w:lang w:val="zh-CN"/>
                <w:rFonts w:ascii="Times New Roman" w:hAnsi="Times New Roman" w:cs="Times New Roman"/>
                <w:sz w:val="20"/>
                <w:szCs w:val="20"/>
                <w:color w:val="000000"/>
              </w:rPr>
              <w:t>2026/10/25</w:t>
            </w:r>
          </w:p>
        </w:tc>
        <w:tc>
          <w:tcPr>
            <w:tcW w:w="2310" w:type="dxa"/>
            <w:gridSpan w:val="7"/>
          </w:tcPr>
          <w:p>
            <w:pPr/>
            <w:r>
              <w:rPr>
                <w:lang w:val="zh-CN"/>
                <w:rFonts w:ascii="Times New Roman" w:hAnsi="Times New Roman" w:cs="Times New Roman"/>
                <w:b/>
                <w:color w:val="000000"/>
              </w:rPr>
              <w:t>木渎→七里山塘街→三国城(汽车)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浏览【木渎古镇】（游览时间约1小时）乘坐一段摇撸船游览中国唯一的园林水乡古镇木渎，赏江南美景。这座水乡古镇与苏州城同龄，迄今已有2500多年历史，在这里，古镇依山而筑，傍水而居在清新空气、蓝天白云，绿水波涛、参天树木的掩映之下，宛如一片鲜为人知的世外桃源。其中【严家花园】严家花园在木渎镇山塘街王家桥畔，门对香溪，背倚灵岩，“虽处山林，而斯园结构之精，不让城市”，为江南名园之一，严家花园的前身是清乾隆年间苏州大名士、《古诗源》编者沈德潜的寓所。【虹饮山房】占地广袤，建筑大气，其“溪山风月之美，池亭花木之胜”，远胜过其它园林，乾隆每到木渎必游此园。因此，虹饮山房在当地又被称为乾隆皇帝的“民间行宫”。游览【七里山塘景区】（含游船），一条有将近1200年历史的步行街。曾是明清时期中国商贸、文化最为发达的街区之一，自古山塘街有“姑苏第一名街”之称。车赴无锡游览影视基地【三国城】，乘仿古战船畅游太湖（此项目为免费赠送项目，遇天气问题或不可抗力因素无法乘坐者时，则取消，无费用可退，也不做等价交换）；为拍摄《三国演义》而兴建的大型影视文化景区，“刘备招亲”、“火烧赤壁”、“横槊赋诗”、“草船借箭”、“借东风”、“诸葛吊孝”、“舌战群儒”等十多集的重场戏均在此拍摄。</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早餐：含；午餐：含；晚餐：含；住宿：无锡</w:t>
            </w:r>
          </w:p>
        </w:tc>
      </w:tr>
      <w:tr>
        <w:tc>
          <w:tcPr>
            <w:tcW w:w="2310" w:type="dxa"/>
            <w:vAlign w:val="center"/>
            <w:vMerge w:val="restart"/>
          </w:tcPr>
          <w:p>
            <w:pPr/>
            <w:r>
              <w:rPr>
                <w:lang w:val="zh-CN"/>
                <w:rFonts w:ascii="Times New Roman" w:hAnsi="Times New Roman" w:cs="Times New Roman"/>
                <w:sz w:val="20"/>
                <w:szCs w:val="20"/>
                <w:color w:val="000000"/>
              </w:rPr>
              <w:t>2026/10/26</w:t>
            </w:r>
          </w:p>
        </w:tc>
        <w:tc>
          <w:tcPr>
            <w:tcW w:w="2310" w:type="dxa"/>
            <w:gridSpan w:val="7"/>
          </w:tcPr>
          <w:p>
            <w:pPr/>
            <w:r>
              <w:rPr>
                <w:lang w:val="zh-CN"/>
                <w:rFonts w:ascii="Times New Roman" w:hAnsi="Times New Roman" w:cs="Times New Roman"/>
                <w:b/>
                <w:color w:val="000000"/>
              </w:rPr>
              <w:t>中山陵→长江大桥→雨花台→秦淮河夫子庙乌衣巷(汽车、火车)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中山陵】（含中山陵接驳车）是中华民国国父、中国民主革命的先行者孙中山的陵墓，位于南京市东郊紫金山南麓，西邻明孝陵，东毗灵谷寺，是全国重点文物保护单位。参观博爱坊墓道、陵门、碑亭、祭堂、墓室等。温馨提示：1、如遇中山陵周一闭馆，只能游览景区前半段，请谅解。2、中山陵实行实名制预约，如未预约成功，则取消参观或替换其他景点。外观【南京长江大桥】（不上桥），是中国第一座完全依靠自主设计和建造的铁路、公路两用桥，被列为新金陵四十八景，是中国桥梁建设的里程碑，名副其实的“骨气桥”“争气桥”。游览爱国主义教育基地、风景秀美的城市森林公园【雨花台】，雨花台已有3000多年的历史，是一座以自然山林为依托，以红色旅游为主体，融和自然风光和人文景观为一体的全国独具特色的纪念性风景名胜区。雨花台是中国新民主主义革命的纪念圣地，百家红色旅游经典景区，景区内缅怀曾经为祖国抛头颅、洒热血的革命先烈。前往【夫子庙秦淮河风光带】自由活动。位于秦淮河北岸的贡院街旁，原是祀奉孔子的地方，后多次遭毁并重建。是南京城南最繁华的的地带，集六朝与明清历史、金陵民俗文化大观园于一身，亭台楼阁、桨声灯影，乌衣巷、文德桥、棂星门、天下文枢坊、东市、西市等小商品一条街，自由活动，品南京十里秦淮的风韵，享金陵特色小食，赏老南京民俗风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早餐：含；午餐：含；晚餐：含；住宿：火车上</w:t>
            </w:r>
          </w:p>
        </w:tc>
      </w:tr>
      <w:tr>
        <w:tc>
          <w:tcPr>
            <w:tcW w:w="2310" w:type="dxa"/>
            <w:vAlign w:val="center"/>
            <w:vMerge w:val="restart"/>
          </w:tcPr>
          <w:p>
            <w:pPr/>
            <w:r>
              <w:rPr>
                <w:lang w:val="zh-CN"/>
                <w:rFonts w:ascii="Times New Roman" w:hAnsi="Times New Roman" w:cs="Times New Roman"/>
                <w:sz w:val="20"/>
                <w:szCs w:val="20"/>
                <w:color w:val="000000"/>
              </w:rPr>
              <w:t>2026/10/27</w:t>
            </w:r>
          </w:p>
        </w:tc>
        <w:tc>
          <w:tcPr>
            <w:tcW w:w="2310" w:type="dxa"/>
            <w:gridSpan w:val="7"/>
          </w:tcPr>
          <w:p>
            <w:pPr/>
            <w:r>
              <w:rPr>
                <w:lang w:val="zh-CN"/>
                <w:rFonts w:ascii="Times New Roman" w:hAnsi="Times New Roman" w:cs="Times New Roman"/>
                <w:b/>
                <w:color w:val="000000"/>
              </w:rPr>
              <w:t>天安门→故宫→军博或首博→什刹海→前门大街(汽车)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全世界最大的城市中心广场—【天安门广场】；瞻仰【人民英雄纪念碑】外观【人民大会堂外观】【国家大剧院外观】。游览全世界最大的宫殿建筑群【故宫博物院】（约2小时）（门票实行预约制，如预约不上，退还门票或者替换成其他可替换的景点；特别赠送：故宫摆渡车+故宫耳麦）深度游览故宫，含东西6宫，打卡延禧宫。北京故宫是中国明清两代的皇家宫殿，旧称为紫禁城，位于北京中轴线的中心，是中国古代宫廷建筑之精华。是世界上现存规模最大、保存最为完整的木质结构古建筑之一。北京故宫被誉为世界五大宫之首（北京故宫、法国凡尔赛宫、英国白金汉宫、美国白宫、俄罗斯克里姆林宫），是国家AAAAA级旅游景区。前往【中国人民革命军事博物馆】或【首都博物馆】或【中国人民抗日战争纪念馆】（门票实行预约制，如预约不上，则安排【首都博物馆】或【中国人民抗日战争纪念馆】其他可预约的博物馆）中国唯一的大型综合性军事历史博物馆，占地面积8万多平方米，建筑面积6万多平方米，陈列面积4万多平方米。主楼高94.7米，中央7层，两侧4层。截止至2012年末，全馆有22个陈列厅、2个陈列广场。军博收藏34万多件文物和藏品。其中国家一级文物1793件，大型武器装备250余件，艺术品1600余件，对外军事交往中受赠礼品2551件。其中有铜鎏金弩机、镇远舰铁锚、叶挺指挥刀、三八式步枪和解放军第一辆坦克等重大历史价值文物。乘车前往北京参观游览非常著名的商业街【前门大街】，作为北京最具代表性的传统商业街之一，承载着丰富的历史文化底蕴，是游客探寻老北京风貌的必去之地。在这里，你可以品尝到地道的北京小吃，如糖葫芦的甜、炸酱面的咸，尽享美食盛宴。同时，你还可以漫步在充满历史气息的老北京胡同中，感受到浓厚的历史氛围。游览“亚洲最佳风情胜地”中国最美城区【什刹海风景区】（约30分钟），什刹海曾经是清朝王公贵族的后花园，至今仍保留有众多的王府、花园和名人故居，观赏“银锭观山”、“柳岸风荷”等具有百年历史美誉的自然景观。欣赏老北京旧城区最美丽、最繁华的地方，在这里您可以感受到彻彻底底的老北京胡同四合院的氛围，当夜幕降临，什刹海周边的酒吧灯红酒绿，让您一睹夜晚北京风采。外观京城最高的古建筑之一【鼓楼】。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2026/10/28</w:t>
            </w:r>
          </w:p>
        </w:tc>
        <w:tc>
          <w:tcPr>
            <w:tcW w:w="2310" w:type="dxa"/>
            <w:gridSpan w:val="7"/>
          </w:tcPr>
          <w:p>
            <w:pPr/>
            <w:r>
              <w:rPr>
                <w:lang w:val="zh-CN"/>
                <w:rFonts w:ascii="Times New Roman" w:hAnsi="Times New Roman" w:cs="Times New Roman"/>
                <w:b/>
                <w:color w:val="000000"/>
              </w:rPr>
              <w:t>天安门升旗仪式→八达岭长城→奥运杂技→鸟巢水立方外观(汽车)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当天升旗仪式时间，早上观庄严的【天安门升旗仪式】（因起床时间较早，根据游客自身情况，少数服从多数参观）。前往游览【八达岭长城】(约120分钟)，感受“不到长城非好汉”的豪迈气魄。此段是京都西北方向重要关口，海拔高达1015米，地势险要，城关坚固。是万里长城的精华和杰出代表，历史上被称为“天下九塞之一”。为明长城中保存最好的一段，高超的建筑技艺和不朽的艺术价值，充分体现了中国古代劳动人民的智慧和力量。特别安排观看【奥运杂技演出】，释放内心的激情，共同沐浴永恒的奥运精神；凭借民族文化的光芒，放飞希望和梦想。向世界播洒文明的火种，奏一曲和平和谐发展的乐章；凝聚我们共同超越的力量，升腾中国梦，感动世界情。一起重温奥运激情，再现精彩视界！前往【奥林区克公园】（约30分钟)【鸟巢、水立方外观】【冰丝带外观】为背景拍照留念，零距离体验2008激情、奥运情怀。奥林匹克公园位于城市传统中轴线的延伸，意喻中国千年历史文化的延续。国家速滑馆又称为“冰丝带”，是2022年北京冬奥会北京主赛区标志性场馆、唯一新建的冰上竞赛场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2026/10/29</w:t>
            </w:r>
          </w:p>
        </w:tc>
        <w:tc>
          <w:tcPr>
            <w:tcW w:w="2310" w:type="dxa"/>
            <w:gridSpan w:val="7"/>
          </w:tcPr>
          <w:p>
            <w:pPr/>
            <w:r>
              <w:rPr>
                <w:lang w:val="zh-CN"/>
                <w:rFonts w:ascii="Times New Roman" w:hAnsi="Times New Roman" w:cs="Times New Roman"/>
                <w:b/>
                <w:color w:val="000000"/>
              </w:rPr>
              <w:t>天坛（通票）→颐和园→圆明园→清华/北大外景(汽车)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明清两代北京最大的祭祀性场所【天坛公园】(通票）天坛是圜丘、祈谷两坛的总称，有坛墙两重，形成内外坛，坛墙南方北圆，象征天圆地方。主要建筑在内坛，圜丘坛在南、祈谷坛在北，二坛同在一条南北轴线上，中间有墙相隔。圜丘坛内主要建筑有圜丘坛、皇穹宇等等，祈谷坛内主要建筑有祈年殿、皇乾殿、祈年门等。游览世界上最美丽的皇家园林【颐和园】，是保存蕞完整的一座皇家行宫御苑，被誉为“皇家园林博物馆”。由万寿山、昆明湖构成基本框架，汲取江南园林的设计手法，借周围的山水环境，造就中国皇家园林的恢弘富丽气势，体现了“虽由人作，宛自天开”的造园意境。前往清华/北大外景并拍照。游览【圆明园遗址公园】（首道）位于北京市海淀区中部偏东，西北去西直门二十华里。其东南角为清华大学西门。圆明园遗址公园为著名的爱国主义教育基地。圆明园遗址公园建成于1988年，仅存山形水系、园林格局和建筑基址，假山叠石、雕刻残迹仍然可见。在“西洋楼”旧址建有园史展览馆，供人瞻仰凭吊。</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2026/10/30</w:t>
            </w:r>
          </w:p>
        </w:tc>
        <w:tc>
          <w:tcPr>
            <w:tcW w:w="2310" w:type="dxa"/>
            <w:gridSpan w:val="7"/>
          </w:tcPr>
          <w:p>
            <w:pPr/>
            <w:r>
              <w:rPr>
                <w:lang w:val="zh-CN"/>
                <w:rFonts w:ascii="Times New Roman" w:hAnsi="Times New Roman" w:cs="Times New Roman"/>
                <w:b/>
                <w:color w:val="000000"/>
              </w:rPr>
              <w:t>周邓纪念馆→古文化街→食品街→意大利风情街→天津相声(汽车  )</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天津AAAAA景区的【古文化街】（约1小时），欣赏民间手工艺术绝活，外观我国三大妈祖庙祖庭之一【天后宫】外观有着“禹贡黄河”之称的母亲河【海河】，远观天津市的地标性建筑--世界上最大的桥上摩天轮【天津之眼】后游览参观天津小吃汇聚地【食品街】（约1.5小时）。午餐后参观【周邓纪念馆】周一闭馆，如政策性闭馆则外观（约1小时），去观看伟人影片、再一次经历“十里长街送总理”的悲痛，车览素有“万国建筑博览会”之称的租界洋楼，特定历史时期的产物，是世界建筑界的瑰宝，汇聚着西方各国异国风情的建筑【五大道意大利风景区】。后赠送观赏【天津相声】。</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2026/10/31</w:t>
            </w:r>
          </w:p>
        </w:tc>
        <w:tc>
          <w:tcPr>
            <w:tcW w:w="2310" w:type="dxa"/>
            <w:gridSpan w:val="7"/>
          </w:tcPr>
          <w:p>
            <w:pPr/>
            <w:r>
              <w:rPr>
                <w:lang w:val="zh-CN"/>
                <w:rFonts w:ascii="Times New Roman" w:hAnsi="Times New Roman" w:cs="Times New Roman"/>
                <w:b/>
                <w:color w:val="000000"/>
              </w:rPr>
              <w:t>北京→昆明(汽车、飞机)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早餐后，根据航班时间返回昆明，结束愉快之旅！！！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早餐：含；午餐：不含；晚餐：不含；住宿：无</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标准：全程入住精选商务酒店标准间；华东升级一晚网评携程4钻酒店；单房差费用自理。如果对住宿有较高要求的客人请谨慎选择此产品。2、交通服务：昆明-上海，北京-昆明飞机经济舱含税机票，华东到北京/天津火车卧铺，不指定车次，不保证铺位上中下（随机分配）当地空调旅游巴士。3、餐饮标准：行程所列9早16正，早餐酒店含，正餐餐标20-50元/人/餐（八菜一汤，十人一桌）  早餐说明：行程所列早餐为酒店含，华东段酒店早为主，北京为简单打包热早餐，如果对早餐有较高需要的客人请谨慎选择此产品。特色餐饮：京津段：文旅演艺餐【宫廷盛宴】便宜坊烤鸭（50）；北京饺子宴（25），北京自助餐（30），东来顺涮肉30，天津狗不理包子（25）；其他未说明餐标20元/人华东段：无锡酱排骨（20），南京盐水鸭（20），龙井御茶宴（25），太湖河鲜宴（20），其他未说明餐标20元/人；4、门票服务：行程内所列各景点首道大门票。此产品已经按照最优惠的门票价格核算，所以任何老年证、残疾证、军官证等特殊证件无优惠差价可退，请知晓。此旅游产品中，门票采取预约制。如报名后景区门票约满或者恰逢闭馆（例如故宫，颐和园，军事博物馆，天安门升旗仪式，毛主席纪念堂等）导致无法参观游览，我社将退还门票，或者替换为同类景点，我社概不承担责任，如果您对景点有特别需求，请谨慎选择此产品，不便之处敬请各位游客知悉！！！5、导游服务：地接导游+昆明起止全陪服务。6、儿童标准：儿童报价仅含单程机票，全程半餐车导服，不含火车票、门票、不占床。</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全程不推荐任何自费，北京华东精华景点，常规推荐精华自费一价全含！！！备注：此项目参团即送，不去不退费用，也不做等价交换；①   奥运杂技表演；②故宫耳麦及摆渡车；③天津相声； ④鸟巢水立方夜景；⑤老北京堂会+四合院；⑥上海夜景：登金茂大厦+船游黄浦江；⑦西湖接驳车；⑧中山陵景交+夫子庙接驳车；⑨钱江新城灯光秀；⑩七里山塘街游船；  全程0博物馆+天津麻花+车销；1、京津段：天津麻花非传统购物店（约60分钟）；（展示型博物馆及超市，如需购买请索取小票）2、车销：为满足游客选购本地纪念品、特色伴手礼需求，本次行程沿途将安排特产推介讲解服务，沿途售卖商品均为游客自愿选购，请游客自行甄别商品品质、价格后谨慎购买。  </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古凌</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杜国权</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18</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2026/10/18 17:36:47</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