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玉溪全心周静</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唐晓蒙</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15887290892</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谭超群</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15912187764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BH-CGT10CZ261012A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10-12特惠北华-北进上出-北京天津华东双飞单卧10日</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26(26大)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2026-10-12 CZ8568 昆明→北京 19:15-22:40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2026-10-21 CZ8755 上海→昆明 14:50-18:2</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1、詹桂仙</w:t>
            </w:r>
          </w:p>
        </w:tc>
        <w:tc>
          <w:tcPr>
            <w:tcW w:w="2310" w:type="dxa"/>
            <w:vAlign w:val="center"/>
            <w:gridSpan w:val="2"/>
          </w:tcPr>
          <w:p>
            <w:pPr/>
            <w:r>
              <w:rPr>
                <w:lang w:val="zh-CN"/>
                <w:rFonts w:ascii="Times New Roman" w:hAnsi="Times New Roman" w:cs="Times New Roman"/>
                <w:sz w:val="20"/>
                <w:szCs w:val="20"/>
                <w:color w:val="000000"/>
              </w:rPr>
              <w:t>532401195610240340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2、李杰</w:t>
            </w:r>
          </w:p>
        </w:tc>
        <w:tc>
          <w:tcPr>
            <w:tcW w:w="2310" w:type="dxa"/>
            <w:vAlign w:val="center"/>
            <w:gridSpan w:val="2"/>
          </w:tcPr>
          <w:p>
            <w:pPr/>
            <w:r>
              <w:rPr>
                <w:lang w:val="zh-CN"/>
                <w:rFonts w:ascii="Times New Roman" w:hAnsi="Times New Roman" w:cs="Times New Roman"/>
                <w:sz w:val="20"/>
                <w:szCs w:val="20"/>
                <w:color w:val="000000"/>
              </w:rPr>
              <w:t>532401195709270339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3、李艳艳</w:t>
            </w:r>
          </w:p>
        </w:tc>
        <w:tc>
          <w:tcPr>
            <w:tcW w:w="2310" w:type="dxa"/>
            <w:vAlign w:val="center"/>
            <w:gridSpan w:val="2"/>
          </w:tcPr>
          <w:p>
            <w:pPr/>
            <w:r>
              <w:rPr>
                <w:lang w:val="zh-CN"/>
                <w:rFonts w:ascii="Times New Roman" w:hAnsi="Times New Roman" w:cs="Times New Roman"/>
                <w:sz w:val="20"/>
                <w:szCs w:val="20"/>
                <w:color w:val="000000"/>
              </w:rPr>
              <w:t>532401198303230349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4、张琼惠</w:t>
            </w:r>
          </w:p>
        </w:tc>
        <w:tc>
          <w:tcPr>
            <w:tcW w:w="2310" w:type="dxa"/>
            <w:vAlign w:val="center"/>
            <w:gridSpan w:val="2"/>
          </w:tcPr>
          <w:p>
            <w:pPr/>
            <w:r>
              <w:rPr>
                <w:lang w:val="zh-CN"/>
                <w:rFonts w:ascii="Times New Roman" w:hAnsi="Times New Roman" w:cs="Times New Roman"/>
                <w:sz w:val="20"/>
                <w:szCs w:val="20"/>
                <w:color w:val="000000"/>
              </w:rPr>
              <w:t>532425197007070666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5、黄应文</w:t>
            </w:r>
          </w:p>
        </w:tc>
        <w:tc>
          <w:tcPr>
            <w:tcW w:w="2310" w:type="dxa"/>
            <w:vAlign w:val="center"/>
            <w:gridSpan w:val="2"/>
          </w:tcPr>
          <w:p>
            <w:pPr/>
            <w:r>
              <w:rPr>
                <w:lang w:val="zh-CN"/>
                <w:rFonts w:ascii="Times New Roman" w:hAnsi="Times New Roman" w:cs="Times New Roman"/>
                <w:sz w:val="20"/>
                <w:szCs w:val="20"/>
                <w:color w:val="000000"/>
              </w:rPr>
              <w:t>532425196912260334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6、何普凤</w:t>
            </w:r>
          </w:p>
        </w:tc>
        <w:tc>
          <w:tcPr>
            <w:tcW w:w="2310" w:type="dxa"/>
            <w:vAlign w:val="center"/>
            <w:gridSpan w:val="2"/>
          </w:tcPr>
          <w:p>
            <w:pPr/>
            <w:r>
              <w:rPr>
                <w:lang w:val="zh-CN"/>
                <w:rFonts w:ascii="Times New Roman" w:hAnsi="Times New Roman" w:cs="Times New Roman"/>
                <w:sz w:val="20"/>
                <w:szCs w:val="20"/>
                <w:color w:val="000000"/>
              </w:rPr>
              <w:t>532425197007031026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7、羊兴文</w:t>
            </w:r>
          </w:p>
        </w:tc>
        <w:tc>
          <w:tcPr>
            <w:tcW w:w="2310" w:type="dxa"/>
            <w:vAlign w:val="center"/>
            <w:gridSpan w:val="2"/>
          </w:tcPr>
          <w:p>
            <w:pPr/>
            <w:r>
              <w:rPr>
                <w:lang w:val="zh-CN"/>
                <w:rFonts w:ascii="Times New Roman" w:hAnsi="Times New Roman" w:cs="Times New Roman"/>
                <w:sz w:val="20"/>
                <w:szCs w:val="20"/>
                <w:color w:val="000000"/>
              </w:rPr>
              <w:t>532425196903071013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8、董昌平</w:t>
            </w:r>
          </w:p>
        </w:tc>
        <w:tc>
          <w:tcPr>
            <w:tcW w:w="2310" w:type="dxa"/>
            <w:vAlign w:val="center"/>
            <w:gridSpan w:val="2"/>
          </w:tcPr>
          <w:p>
            <w:pPr/>
            <w:r>
              <w:rPr>
                <w:lang w:val="zh-CN"/>
                <w:rFonts w:ascii="Times New Roman" w:hAnsi="Times New Roman" w:cs="Times New Roman"/>
                <w:sz w:val="20"/>
                <w:szCs w:val="20"/>
                <w:color w:val="000000"/>
              </w:rPr>
              <w:t>532425197408300012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9、张梅</w:t>
            </w:r>
          </w:p>
        </w:tc>
        <w:tc>
          <w:tcPr>
            <w:tcW w:w="2310" w:type="dxa"/>
            <w:vAlign w:val="center"/>
            <w:gridSpan w:val="2"/>
          </w:tcPr>
          <w:p>
            <w:pPr/>
            <w:r>
              <w:rPr>
                <w:lang w:val="zh-CN"/>
                <w:rFonts w:ascii="Times New Roman" w:hAnsi="Times New Roman" w:cs="Times New Roman"/>
                <w:sz w:val="20"/>
                <w:szCs w:val="20"/>
                <w:color w:val="000000"/>
              </w:rPr>
              <w:t>532425197503011227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10、柯本堂</w:t>
            </w:r>
          </w:p>
        </w:tc>
        <w:tc>
          <w:tcPr>
            <w:tcW w:w="2310" w:type="dxa"/>
            <w:vAlign w:val="center"/>
            <w:gridSpan w:val="2"/>
          </w:tcPr>
          <w:p>
            <w:pPr/>
            <w:r>
              <w:rPr>
                <w:lang w:val="zh-CN"/>
                <w:rFonts w:ascii="Times New Roman" w:hAnsi="Times New Roman" w:cs="Times New Roman"/>
                <w:sz w:val="20"/>
                <w:szCs w:val="20"/>
                <w:color w:val="000000"/>
              </w:rPr>
              <w:t>532425196409030013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11、张美仙</w:t>
            </w:r>
          </w:p>
        </w:tc>
        <w:tc>
          <w:tcPr>
            <w:tcW w:w="2310" w:type="dxa"/>
            <w:vAlign w:val="center"/>
            <w:gridSpan w:val="2"/>
          </w:tcPr>
          <w:p>
            <w:pPr/>
            <w:r>
              <w:rPr>
                <w:lang w:val="zh-CN"/>
                <w:rFonts w:ascii="Times New Roman" w:hAnsi="Times New Roman" w:cs="Times New Roman"/>
                <w:sz w:val="20"/>
                <w:szCs w:val="20"/>
                <w:color w:val="000000"/>
              </w:rPr>
              <w:t>532425196409140028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12、张琼芬</w:t>
            </w:r>
          </w:p>
        </w:tc>
        <w:tc>
          <w:tcPr>
            <w:tcW w:w="2310" w:type="dxa"/>
            <w:vAlign w:val="center"/>
            <w:gridSpan w:val="2"/>
          </w:tcPr>
          <w:p>
            <w:pPr/>
            <w:r>
              <w:rPr>
                <w:lang w:val="zh-CN"/>
                <w:rFonts w:ascii="Times New Roman" w:hAnsi="Times New Roman" w:cs="Times New Roman"/>
                <w:sz w:val="20"/>
                <w:szCs w:val="20"/>
                <w:color w:val="000000"/>
              </w:rPr>
              <w:t>53242519610312122X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13、钱琴</w:t>
            </w:r>
          </w:p>
        </w:tc>
        <w:tc>
          <w:tcPr>
            <w:tcW w:w="2310" w:type="dxa"/>
            <w:vAlign w:val="center"/>
            <w:gridSpan w:val="2"/>
          </w:tcPr>
          <w:p>
            <w:pPr/>
            <w:r>
              <w:rPr>
                <w:lang w:val="zh-CN"/>
                <w:rFonts w:ascii="Times New Roman" w:hAnsi="Times New Roman" w:cs="Times New Roman"/>
                <w:sz w:val="20"/>
                <w:szCs w:val="20"/>
                <w:color w:val="000000"/>
              </w:rPr>
              <w:t>530424199208171026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14、李艳玲</w:t>
            </w:r>
          </w:p>
        </w:tc>
        <w:tc>
          <w:tcPr>
            <w:tcW w:w="2310" w:type="dxa"/>
            <w:vAlign w:val="center"/>
            <w:gridSpan w:val="2"/>
          </w:tcPr>
          <w:p>
            <w:pPr/>
            <w:r>
              <w:rPr>
                <w:lang w:val="zh-CN"/>
                <w:rFonts w:ascii="Times New Roman" w:hAnsi="Times New Roman" w:cs="Times New Roman"/>
                <w:sz w:val="20"/>
                <w:szCs w:val="20"/>
                <w:color w:val="000000"/>
              </w:rPr>
              <w:t>530424200109180045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15、普丽琼</w:t>
            </w:r>
          </w:p>
        </w:tc>
        <w:tc>
          <w:tcPr>
            <w:tcW w:w="2310" w:type="dxa"/>
            <w:vAlign w:val="center"/>
            <w:gridSpan w:val="2"/>
          </w:tcPr>
          <w:p>
            <w:pPr/>
            <w:r>
              <w:rPr>
                <w:lang w:val="zh-CN"/>
                <w:rFonts w:ascii="Times New Roman" w:hAnsi="Times New Roman" w:cs="Times New Roman"/>
                <w:sz w:val="20"/>
                <w:szCs w:val="20"/>
                <w:color w:val="000000"/>
              </w:rPr>
              <w:t>532425197408061226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16、飞家英</w:t>
            </w:r>
          </w:p>
        </w:tc>
        <w:tc>
          <w:tcPr>
            <w:tcW w:w="2310" w:type="dxa"/>
            <w:vAlign w:val="center"/>
            <w:gridSpan w:val="2"/>
          </w:tcPr>
          <w:p>
            <w:pPr/>
            <w:r>
              <w:rPr>
                <w:lang w:val="zh-CN"/>
                <w:rFonts w:ascii="Times New Roman" w:hAnsi="Times New Roman" w:cs="Times New Roman"/>
                <w:sz w:val="20"/>
                <w:szCs w:val="20"/>
                <w:color w:val="000000"/>
              </w:rPr>
              <w:t>532425197505291226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17、程家考</w:t>
            </w:r>
          </w:p>
        </w:tc>
        <w:tc>
          <w:tcPr>
            <w:tcW w:w="2310" w:type="dxa"/>
            <w:vAlign w:val="center"/>
            <w:gridSpan w:val="2"/>
          </w:tcPr>
          <w:p>
            <w:pPr/>
            <w:r>
              <w:rPr>
                <w:lang w:val="zh-CN"/>
                <w:rFonts w:ascii="Times New Roman" w:hAnsi="Times New Roman" w:cs="Times New Roman"/>
                <w:sz w:val="20"/>
                <w:szCs w:val="20"/>
                <w:color w:val="000000"/>
              </w:rPr>
              <w:t>532425195607080017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18、刘新华</w:t>
            </w:r>
          </w:p>
        </w:tc>
        <w:tc>
          <w:tcPr>
            <w:tcW w:w="2310" w:type="dxa"/>
            <w:vAlign w:val="center"/>
            <w:gridSpan w:val="2"/>
          </w:tcPr>
          <w:p>
            <w:pPr/>
            <w:r>
              <w:rPr>
                <w:lang w:val="zh-CN"/>
                <w:rFonts w:ascii="Times New Roman" w:hAnsi="Times New Roman" w:cs="Times New Roman"/>
                <w:sz w:val="20"/>
                <w:szCs w:val="20"/>
                <w:color w:val="000000"/>
              </w:rPr>
              <w:t>532425196410230012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19、张任华</w:t>
            </w:r>
          </w:p>
        </w:tc>
        <w:tc>
          <w:tcPr>
            <w:tcW w:w="2310" w:type="dxa"/>
            <w:vAlign w:val="center"/>
            <w:gridSpan w:val="2"/>
          </w:tcPr>
          <w:p>
            <w:pPr/>
            <w:r>
              <w:rPr>
                <w:lang w:val="zh-CN"/>
                <w:rFonts w:ascii="Times New Roman" w:hAnsi="Times New Roman" w:cs="Times New Roman"/>
                <w:sz w:val="20"/>
                <w:szCs w:val="20"/>
                <w:color w:val="000000"/>
              </w:rPr>
              <w:t>532422196610091513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20、宋能会</w:t>
            </w:r>
          </w:p>
        </w:tc>
        <w:tc>
          <w:tcPr>
            <w:tcW w:w="2310" w:type="dxa"/>
            <w:vAlign w:val="center"/>
            <w:gridSpan w:val="2"/>
          </w:tcPr>
          <w:p>
            <w:pPr/>
            <w:r>
              <w:rPr>
                <w:lang w:val="zh-CN"/>
                <w:rFonts w:ascii="Times New Roman" w:hAnsi="Times New Roman" w:cs="Times New Roman"/>
                <w:sz w:val="20"/>
                <w:szCs w:val="20"/>
                <w:color w:val="000000"/>
              </w:rPr>
              <w:t>532422196612091525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21、高应龙</w:t>
            </w:r>
          </w:p>
        </w:tc>
        <w:tc>
          <w:tcPr>
            <w:tcW w:w="2310" w:type="dxa"/>
            <w:vAlign w:val="center"/>
            <w:gridSpan w:val="2"/>
          </w:tcPr>
          <w:p>
            <w:pPr/>
            <w:r>
              <w:rPr>
                <w:lang w:val="zh-CN"/>
                <w:rFonts w:ascii="Times New Roman" w:hAnsi="Times New Roman" w:cs="Times New Roman"/>
                <w:sz w:val="20"/>
                <w:szCs w:val="20"/>
                <w:color w:val="000000"/>
              </w:rPr>
              <w:t>532422196405041138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22、魏祖艳</w:t>
            </w:r>
          </w:p>
        </w:tc>
        <w:tc>
          <w:tcPr>
            <w:tcW w:w="2310" w:type="dxa"/>
            <w:vAlign w:val="center"/>
            <w:gridSpan w:val="2"/>
          </w:tcPr>
          <w:p>
            <w:pPr/>
            <w:r>
              <w:rPr>
                <w:lang w:val="zh-CN"/>
                <w:rFonts w:ascii="Times New Roman" w:hAnsi="Times New Roman" w:cs="Times New Roman"/>
                <w:sz w:val="20"/>
                <w:szCs w:val="20"/>
                <w:color w:val="000000"/>
              </w:rPr>
              <w:t>532425197306201048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23、张呈荣</w:t>
            </w:r>
          </w:p>
        </w:tc>
        <w:tc>
          <w:tcPr>
            <w:tcW w:w="2310" w:type="dxa"/>
            <w:vAlign w:val="center"/>
            <w:gridSpan w:val="2"/>
          </w:tcPr>
          <w:p>
            <w:pPr/>
            <w:r>
              <w:rPr>
                <w:lang w:val="zh-CN"/>
                <w:rFonts w:ascii="Times New Roman" w:hAnsi="Times New Roman" w:cs="Times New Roman"/>
                <w:sz w:val="20"/>
                <w:szCs w:val="20"/>
                <w:color w:val="000000"/>
              </w:rPr>
              <w:t>532425197010161016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24、夏明珍</w:t>
            </w:r>
          </w:p>
        </w:tc>
        <w:tc>
          <w:tcPr>
            <w:tcW w:w="2310" w:type="dxa"/>
            <w:vAlign w:val="center"/>
            <w:gridSpan w:val="2"/>
          </w:tcPr>
          <w:p>
            <w:pPr/>
            <w:r>
              <w:rPr>
                <w:lang w:val="zh-CN"/>
                <w:rFonts w:ascii="Times New Roman" w:hAnsi="Times New Roman" w:cs="Times New Roman"/>
                <w:sz w:val="20"/>
                <w:szCs w:val="20"/>
                <w:color w:val="000000"/>
              </w:rPr>
              <w:t>532425195307170627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25、夏存珍</w:t>
            </w:r>
          </w:p>
        </w:tc>
        <w:tc>
          <w:tcPr>
            <w:tcW w:w="2310" w:type="dxa"/>
            <w:vAlign w:val="center"/>
            <w:gridSpan w:val="2"/>
          </w:tcPr>
          <w:p>
            <w:pPr/>
            <w:r>
              <w:rPr>
                <w:lang w:val="zh-CN"/>
                <w:rFonts w:ascii="Times New Roman" w:hAnsi="Times New Roman" w:cs="Times New Roman"/>
                <w:sz w:val="20"/>
                <w:szCs w:val="20"/>
                <w:color w:val="000000"/>
              </w:rPr>
              <w:t>532425196508100646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26、高家福</w:t>
            </w:r>
          </w:p>
        </w:tc>
        <w:tc>
          <w:tcPr>
            <w:tcW w:w="2310" w:type="dxa"/>
            <w:vAlign w:val="center"/>
            <w:gridSpan w:val="2"/>
          </w:tcPr>
          <w:p>
            <w:pPr/>
            <w:r>
              <w:rPr>
                <w:lang w:val="zh-CN"/>
                <w:rFonts w:ascii="Times New Roman" w:hAnsi="Times New Roman" w:cs="Times New Roman"/>
                <w:sz w:val="20"/>
                <w:szCs w:val="20"/>
                <w:color w:val="000000"/>
              </w:rPr>
              <w:t>532425195701270618</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26</w:t>
            </w:r>
          </w:p>
        </w:tc>
        <w:tc>
          <w:tcPr>
            <w:tcW w:w="2310" w:type="dxa"/>
          </w:tcPr>
          <w:p>
            <w:pPr/>
            <w:r>
              <w:rPr>
                <w:lang w:val="zh-CN"/>
                <w:rFonts w:ascii="Times New Roman" w:hAnsi="Times New Roman" w:cs="Times New Roman"/>
                <w:sz w:val="20"/>
                <w:szCs w:val="20"/>
                <w:color w:val="000000"/>
              </w:rPr>
              <w:t>2750.00</w:t>
            </w:r>
          </w:p>
        </w:tc>
        <w:tc>
          <w:tcPr>
            <w:tcW w:w="2310" w:type="dxa"/>
          </w:tcPr>
          <w:p>
            <w:pPr/>
            <w:r>
              <w:rPr>
                <w:lang w:val="zh-CN"/>
                <w:rFonts w:ascii="Times New Roman" w:hAnsi="Times New Roman" w:cs="Times New Roman"/>
                <w:sz w:val="20"/>
                <w:szCs w:val="20"/>
                <w:color w:val="000000"/>
              </w:rPr>
              <w:t>71500.00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总金额：柒万壹仟伍佰元整</w:t>
            </w:r>
          </w:p>
        </w:tc>
        <w:tc>
          <w:tcPr>
            <w:tcW w:w="2310" w:type="dxa"/>
            <w:textDirection w:val="right"/>
            <w:gridSpan w:val="3"/>
          </w:tcPr>
          <w:p>
            <w:pPr/>
            <w:r>
              <w:rPr>
                <w:lang w:val="zh-CN"/>
                <w:rFonts w:ascii="Times New Roman" w:hAnsi="Times New Roman" w:cs="Times New Roman"/>
                <w:b/>
                <w:color w:val="FF0000"/>
              </w:rPr>
              <w:t>71500.00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昆明→北京；(飞机、汽车)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昆明集合出发，飞机前往北京。我社师傅导游接站入住酒店，自由活动，餐食自理。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早餐：不含；午餐：不含；晚餐：不含；住宿：北京</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天安门广场→毛主席纪念堂-故宫→什刹海→前门大街(汽车)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全世界最大的城市中心广场—【天安门广场】；瞻仰【人民英雄纪念碑】外观【人民大会堂外观】【国家大剧院外观】。参观【毛主席纪念堂】（需提前一周进行实名制预约，如预约失败、遇到政策管控、临时闭馆维护等原因无法入内，则改为外观参观，）。游览全世界最大的宫殿建筑群【故宫博物院】（约2小时）（门票实行预约制，如预约不上，退还门票或者替换成其他可替换的景点；特别赠送：故宫摆渡车+故宫耳麦）深度游览故宫，含东西6宫，打卡延禧宫。北京故宫是中国明清两代的皇家宫殿，旧称为紫禁城，位于北京中轴线的中心，是中国古代宫廷建筑之精华。是世界上现存规模最大、保存最为完整的木质结构古建筑之一。北京故宫被誉为世界五大宫之首（北京故宫、法国凡尔赛宫、英国白金汉宫、美国白宫、俄罗斯克里姆林宫），是国家AAAAA级旅游景区。游览“亚洲最佳风情胜地”中国最美城区【什刹海风景区】（约30分钟）外观京城最高的古建筑之一【鼓楼】。乘车前往北京参观游览非常著名的商业街【前门大街】。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升旗仪式→八达岭长城→鸟巢水立方冰丝带(汽车)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当天升旗仪式时间，早上观庄严的【天安门升旗仪式】（因起床时间较早，根据游客自身情况，少数服从多数参观）。随后参观【八达岭长城】(约120分钟)，感受“不到长城非好汉”的豪迈气魄，后前往【奥林区克公园】（约30分钟)【鸟巢、水立方外观】【冰丝带外观】为背景拍照留念，零距离体验2008激情、奥运情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天坛公园（首道）→颐和园→军事博物馆或首都博物馆(汽车)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游览明清两代北京最大的祭祀性场所【天坛公园】(首道门票）（约1小时）：进入天坛感受古木参天，这里号称北京城市中的“天然氧吧”，是世界文化遗产，是世界上最大的皇家祭祀建筑群；前往【中国人民革命军事博物馆】或【首都博物馆】或【中国人民抗日战争纪念馆】（门票实行预约制，如预约不上，则安排【首都博物馆】或【中国人民抗日战争纪念馆】其他可预约的博物馆）中国唯一的大型综合性军事历史博物馆，占地面积8万多平方米，建筑面积6万多平方米，陈列面积4万多平方米。主楼高94.7米，中央7层，两侧4层。截止至2012年末，全馆有22个陈列厅、2个陈列广场。军博收藏34万多件文物和藏品。其中国家一级文物1793件，大型武器装备250余件，艺术品1600余件，对外军事交往中受赠礼品2551件。其中有铜鎏金弩机、镇远舰铁锚、叶挺指挥刀、三八式步枪和解放军第一辆坦克等重大历史价值文物。游览【颐和园】世界上最美丽的皇家园林，是保存最完整的一座皇行宫御苑，被誉为“皇家园林博物馆”有山有水有画，十里青山行画里，双飞白鸟似江南的园林风光。前往清华/北大外景并拍照。</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周邓纪念馆→古文化街→食品街→意大利风情街→华东(汽车、火车)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天津AAAAA景区的【古文化街】（约1小时），欣赏民间手工艺术绝活，外观我国三大妈祖庙祖庭之一【天后宫】外观有着“禹贡黄河”之称的母亲河【海河】，远观天津市的地标性建筑--世界上最大的桥上摩天轮【天津之眼】后游览参观天津小吃汇聚地【食品街】（约1小时）。午餐后参观【周邓纪念馆】（约1小时）周一闭馆，如政策性闭馆则外观，去观看伟人影片、再一次经历“十里长街送总理”的悲痛，车览素有“万国建筑博览会”之称的租界洋楼，特定历史时期的产物，是世界建筑界的瑰宝，汇聚着西方各国异国风情的建筑【五大道意大利风景区】。火车硬卧前往华东；</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东关古街→中山陵→雨花台→秦淮河夫子庙乌衣巷；(汽车)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东关古街】（（此景点属于免费赠送景点，参观情况视火车票出票情况及游览时间而定，如果出到扬州，则安排游览，如果出到华东其他城市或者游览时间不够的话，则不安排浏览，也不安排等价替换。））是扬州城里最具有代表性的一条历史老街。它东至古运河边，西至国庆路，全长1122米，原街道路面为长条板石铺设，这条街以前不仅是扬州水陆交通要冲，而且是商业、手工业和宗教文化中心。后车赴南京，游览【中山陵】位于南京市玄武区紫金山南麓钟山风景名胜区内，是中国近代伟大的民主革命先行者孙中山先生的陵寝及其附属纪念建筑群，陵寝面积8万余平方米，于1926年春动工，至1929年夏建成。（温馨提示：1、如遇中山陵周一闭馆，只能游览景区前半段，请谅解。2、中山陵实行实名制预约，如未预约成功，则取消参观或替换其他景点。3、由于中山陵实施交通管控，小车，大巴车在管控时间段均禁止进出，需要换乘中山陵景交，费用20元/人，敬请自理。）后前往参观【雨花台】这是新中国后建成规模最大的纪念性陵园，也是中国新民主主义革命的纪念圣地。1988年1月，被国务院列为全国重点文物保护单位，2000年列为首批国家AAAA级旅游景区、全国爱国主义教育示范基地。     游集南京六朝文化和民俗市肆文化于一身的【秦淮河】【夫子庙】（游览时间约30分钟，片区高峰实施交通管控，旅游大巴无法直达景区入口，需换乘接驳巴士往返，接驳车费用10元/人，敬请费用自理。），秦淮河风光带，游文德桥，乌衣巷，神州第一大照壁，感受“十里秦淮千年流淌，六朝胜地今更辉煌”，自费品尝南京小吃如：鸭血粉丝、赤豆元宵、鸭油烧饼，盐水鸭蜜汁藕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早餐：含；午餐：含；晚餐：含；住宿：无锡</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无锡三国城→同里古镇→退思园→七里山塘街(汽车)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影视基地【三国城】，乘仿古战船畅游太湖（（此项目为免费赠送项目，遇天气问题或不可抗力因素无法乘坐者时，则取消，无费用可退，也不做等价交换））；为拍摄《三国演义》而兴建的大型影视文化景区，“刘备招亲”、“火烧赤壁”、“横槊赋诗”、“草船借箭”、“借东风”、“诸葛吊孝”、“舌战群儒”等十多集的重场戏均在此拍摄。后车赴苏州，游览集古镇水乡园林为一体的国家5A级景区【同里古镇】属于江苏省苏州市吴江区，宋代建镇。镇区内始建于明清两代的花园、寺观、宅第和名人故居众多，“川”字形的15条小河把古镇区分隔成七个小岛，而49座古桥又将其连成一体，以“小桥、流水、人家”著称，游览世界文化遗产【退思园】位于中国江苏省苏州市吴江区同里镇古镇区新填街234号，始建于清光绪十一年至十三年（1885—1887年），该园是清朝官员任兰生被罢官返回故里后建造，园名引自《左传》中的“林父之事君也，进思尽忠，退思补过”之意。游览老苏州的缩影，苏州古代的金粉地，吴文化的代表【七里山塘街】，有典型江南水乡的风貌，家家户户前街后河，河上小船来往如梭，街上店铺林立，漫步山塘老街，游明园林建筑—玉涵堂；赏青砖小瓦马头墙，回廊挂落花格窗之苏州美景。游览完毕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早餐：含；午餐：含；晚餐：含；住宿：苏州</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珍珠→乌镇东栅→杭州西湖→船游西湖(汽车)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珍珠博物馆】约120分钟，了解珍珠的生成过程，自由参观购物（非传统购物店，如需购买请索取小票）参观游览江南水乡“中国最后的枕水人家”，影视片《似水年华》的拍摄取景地【乌镇东栅】：乌镇是典型的江南水乡古镇，素有“鱼米之乡，丝绸之府”之称。一条流水贯穿全镇，它以水为街，以岸为市，两岸房屋建筑全面向河水，形成了水乡迷人的风光。车赴西湖，游览【西湖景区】（特别安排船游西湖）漫步苏堤，游览曲院风荷,西湖十景之一，著名赏荷胜地等，苏堤春晓（西湖十景之一，移步换景，近距离颀赏西湖）；车游钱塘江风光，观六和塔外景，品尝杭州风味茶餐（龙井御茶宴）。【温馨提示】西湖风景区涉及黄金周、节假日、周末，旅游旺季，实行交通管制，小车，大巴车均禁止进入，客人需要换乘景区公交车，交通方式自理：①普通公交车，市民游客混座往返4元/人；②一站式接驳车：往返20元/人；③包车服务：500元/单趟，最大限乘50个人，具体当天以景区安排为准，敬请谅解。凡是团队涉及小交通费用的，我社免费赠送普通公交车往返，如客人有更高需求敬请自理，赠送费用不退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丝绸博物馆→上海艺术宫→外滩→南京路→城隍庙        (汽车)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丝绸博博物馆】约150分钟，是一家集丝绸文化为一体，大型综合性博物馆（备注：此景点内有购物场所，如需要请谨慎购买并索要发票）。后车赴上海参观游览【中华艺术宫】由中国2010年上海世博会中国国家馆改建而成，于2012年10月1日开馆，总建筑面积16.68万平米，展示面积近7万平米，拥有35个展厅。游览【外滩风光带】百年上海滩的标志和象征，万国建筑博览群、黄埔江风光。游览【南京路步行街】（游览时间约1小时）老上海十里洋场，中华五星商业街，数以千计的大中小型商场，汇集了中国最全和最时尚的商品；游览【上海城隍庙老街】（游览时间约1小时），自由品尝老上海美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上海→昆明；(汽车、飞机)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早餐后，视航班时间送机场返回昆明，结束愉快旅行。</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标准：全程入住商务型酒店双人标准间，单房差费用自理。如果您对住宿有较高需求请谨慎选择此产品。2、交通服务：昆明-北京，上海-昆明飞机经济舱含税机票，北京到华东火车硬卧，不指定车次，不指定铺位；当地空调旅游巴士。3、餐饮标准：行程所列9早16正，早餐酒店含（部分打包早），正餐餐标20-30元/人/餐（八菜一汤，十人一桌）早餐说明：行程所列早餐为酒店赠送，不吃不退，华东段酒店含早为主，北京为简单打包热早，如果对餐饮有较高需求请谨慎选择此产品。特色餐饮：京津段：老北京烤鸭餐（30元），北京饺子宴（30元），北京自助餐或东来顺涮羊肉（30元），品尝天津狗不理包子（20元）；其他未做说明的餐标20元/人/餐华东段：无锡酱排骨（20），南京盐水鸭（20），龙井御茶宴（25），太湖河鲜宴（20），水乡特色宴（20），其他未做说明餐标20元/人/餐4、门票服务：行程内所列各景点首道大门票。此产品已经按照最优惠的门票价格核算，所以任何老年证、残疾证、军官证等特殊证件无优惠差价可退，请知晓。（景点小门票，索道，环保车等自理）此旅游产品中，门票采取预约制。如报名后景区门票约满或者恰逢闭馆（例如故宫，颐和园，军博，天安门升旗仪式等）导致无法参观游览，我社将退还门票，或者替换为同类景点，我社概不承担责任，如果您对景点有特别需求，请谨慎选择此产品，不便之处敬请各位游客知悉！！！5、导游服务：地接导游+昆明起止全陪服务。6、儿童标准：儿童报价仅含单程机票，全程半餐车导服，不含火车票、门票、不占床。</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自费项目1、四合院120元/人2、盛世中国奥运演出220元/人；3、天津极地海洋馆240元/人；4、传统津味儿茶馆相声80元/人；特别说明：以上为京津段精华自费项目，包含以上全部4项，综合优惠价格399元/人。华东段：1、夜游上海登高套餐320元/人2、宋城千古情园区+表演320元/人3、苏州游船150元/人特别说明：以上为华东段精华自费项目，包含以上全部4项，综合优惠价格600元/人。凡是参加自费项目的团员所有的优惠证件不予以使用（如老年证、学生证、教师证等）。不参加自费的游客，请在景区附近自由活动或休息，等待参加自费团友游览结束后一起返回酒店。景交说明因各景区实施交通管控，旅游大巴无法直达核心游览区，需换乘接驳车，费用游客自行承担。1、西湖接驳车：20/人；2、中山陵接驳车：20/人；3、夫子庙接驳车：10/人；购物安排1、京津段：天津麻花非传统购物店（约60分钟）；（展示型博物馆及超市，如需购买请索取小票）2、华东段：丝绸博物馆（约150分钟）；苏和盛珍珠博物馆（约120分钟）（非传统购物店，如需购买请索取小票）；3、车销：为满足游客选购本地纪念品、特色伴手礼需求，本次行程沿途将安排特产推介讲解服务，沿途售卖商品均为游客自愿选购，请游客自行甄别商品品质、价格后谨慎购买。</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唐晓蒙</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谭超群</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7</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2026/10/7 13:33:28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