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禄丰龙城-陈丽红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陈丽红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13987810173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YGA06MU260316A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0316荣耀粤港澳+深圳双飞6天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18(18大)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2026-03-16 MU5889 昆明→珠海 08:05-10:05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2026-03-21 MU5890 珠海→昆明 11:05-13:2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1、严萍</w:t>
            </w:r>
          </w:p>
        </w:tc>
        <w:tc>
          <w:tcPr>
            <w:tcW w:w="2310" w:type="dxa"/>
            <w:vAlign w:val="center"/>
            <w:gridSpan w:val="2"/>
          </w:tcPr>
          <w:p>
            <w:pPr/>
            <w:r>
              <w:rPr>
                <w:lang w:val="zh-CN"/>
                <w:rFonts w:ascii="Times New Roman" w:hAnsi="Times New Roman" w:cs="Times New Roman"/>
                <w:sz w:val="20"/>
                <w:szCs w:val="20"/>
                <w:color w:val="000000"/>
              </w:rPr>
              <w:t>532331196502180624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2、严华</w:t>
            </w:r>
          </w:p>
        </w:tc>
        <w:tc>
          <w:tcPr>
            <w:tcW w:w="2310" w:type="dxa"/>
            <w:vAlign w:val="center"/>
            <w:gridSpan w:val="2"/>
          </w:tcPr>
          <w:p>
            <w:pPr/>
            <w:r>
              <w:rPr>
                <w:lang w:val="zh-CN"/>
                <w:rFonts w:ascii="Times New Roman" w:hAnsi="Times New Roman" w:cs="Times New Roman"/>
                <w:sz w:val="20"/>
                <w:szCs w:val="20"/>
                <w:color w:val="000000"/>
              </w:rPr>
              <w:t>53233119610208342X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3、肖春兰</w:t>
            </w:r>
          </w:p>
        </w:tc>
        <w:tc>
          <w:tcPr>
            <w:tcW w:w="2310" w:type="dxa"/>
            <w:vAlign w:val="center"/>
            <w:gridSpan w:val="2"/>
          </w:tcPr>
          <w:p>
            <w:pPr/>
            <w:r>
              <w:rPr>
                <w:lang w:val="zh-CN"/>
                <w:rFonts w:ascii="Times New Roman" w:hAnsi="Times New Roman" w:cs="Times New Roman"/>
                <w:sz w:val="20"/>
                <w:szCs w:val="20"/>
                <w:color w:val="000000"/>
              </w:rPr>
              <w:t>532331196512202620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4、石美秀</w:t>
            </w:r>
          </w:p>
        </w:tc>
        <w:tc>
          <w:tcPr>
            <w:tcW w:w="2310" w:type="dxa"/>
            <w:vAlign w:val="center"/>
            <w:gridSpan w:val="2"/>
          </w:tcPr>
          <w:p>
            <w:pPr/>
            <w:r>
              <w:rPr>
                <w:lang w:val="zh-CN"/>
                <w:rFonts w:ascii="Times New Roman" w:hAnsi="Times New Roman" w:cs="Times New Roman"/>
                <w:sz w:val="20"/>
                <w:szCs w:val="20"/>
                <w:color w:val="000000"/>
              </w:rPr>
              <w:t>532331196209192706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5、徐品英</w:t>
            </w:r>
          </w:p>
        </w:tc>
        <w:tc>
          <w:tcPr>
            <w:tcW w:w="2310" w:type="dxa"/>
            <w:vAlign w:val="center"/>
            <w:gridSpan w:val="2"/>
          </w:tcPr>
          <w:p>
            <w:pPr/>
            <w:r>
              <w:rPr>
                <w:lang w:val="zh-CN"/>
                <w:rFonts w:ascii="Times New Roman" w:hAnsi="Times New Roman" w:cs="Times New Roman"/>
                <w:sz w:val="20"/>
                <w:szCs w:val="20"/>
                <w:color w:val="000000"/>
              </w:rPr>
              <w:t>532325195712110040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6、尹莉萍</w:t>
            </w:r>
          </w:p>
        </w:tc>
        <w:tc>
          <w:tcPr>
            <w:tcW w:w="2310" w:type="dxa"/>
            <w:vAlign w:val="center"/>
            <w:gridSpan w:val="2"/>
          </w:tcPr>
          <w:p>
            <w:pPr/>
            <w:r>
              <w:rPr>
                <w:lang w:val="zh-CN"/>
                <w:rFonts w:ascii="Times New Roman" w:hAnsi="Times New Roman" w:cs="Times New Roman"/>
                <w:sz w:val="20"/>
                <w:szCs w:val="20"/>
                <w:color w:val="000000"/>
              </w:rPr>
              <w:t>532331196406202627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7、张琼</w:t>
            </w:r>
          </w:p>
        </w:tc>
        <w:tc>
          <w:tcPr>
            <w:tcW w:w="2310" w:type="dxa"/>
            <w:vAlign w:val="center"/>
            <w:gridSpan w:val="2"/>
          </w:tcPr>
          <w:p>
            <w:pPr/>
            <w:r>
              <w:rPr>
                <w:lang w:val="zh-CN"/>
                <w:rFonts w:ascii="Times New Roman" w:hAnsi="Times New Roman" w:cs="Times New Roman"/>
                <w:sz w:val="20"/>
                <w:szCs w:val="20"/>
                <w:color w:val="000000"/>
              </w:rPr>
              <w:t>532331196506160022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8、谢光友</w:t>
            </w:r>
          </w:p>
        </w:tc>
        <w:tc>
          <w:tcPr>
            <w:tcW w:w="2310" w:type="dxa"/>
            <w:vAlign w:val="center"/>
            <w:gridSpan w:val="2"/>
          </w:tcPr>
          <w:p>
            <w:pPr/>
            <w:r>
              <w:rPr>
                <w:lang w:val="zh-CN"/>
                <w:rFonts w:ascii="Times New Roman" w:hAnsi="Times New Roman" w:cs="Times New Roman"/>
                <w:sz w:val="20"/>
                <w:szCs w:val="20"/>
                <w:color w:val="000000"/>
              </w:rPr>
              <w:t>532331196103150014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9、史云</w:t>
            </w:r>
          </w:p>
        </w:tc>
        <w:tc>
          <w:tcPr>
            <w:tcW w:w="2310" w:type="dxa"/>
            <w:vAlign w:val="center"/>
            <w:gridSpan w:val="2"/>
          </w:tcPr>
          <w:p>
            <w:pPr/>
            <w:r>
              <w:rPr>
                <w:lang w:val="zh-CN"/>
                <w:rFonts w:ascii="Times New Roman" w:hAnsi="Times New Roman" w:cs="Times New Roman"/>
                <w:sz w:val="20"/>
                <w:szCs w:val="20"/>
                <w:color w:val="000000"/>
              </w:rPr>
              <w:t>532331195612042033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10、杨世兰</w:t>
            </w:r>
          </w:p>
        </w:tc>
        <w:tc>
          <w:tcPr>
            <w:tcW w:w="2310" w:type="dxa"/>
            <w:vAlign w:val="center"/>
            <w:gridSpan w:val="2"/>
          </w:tcPr>
          <w:p>
            <w:pPr/>
            <w:r>
              <w:rPr>
                <w:lang w:val="zh-CN"/>
                <w:rFonts w:ascii="Times New Roman" w:hAnsi="Times New Roman" w:cs="Times New Roman"/>
                <w:sz w:val="20"/>
                <w:szCs w:val="20"/>
                <w:color w:val="000000"/>
              </w:rPr>
              <w:t>532331195508182060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11、李荣勋</w:t>
            </w:r>
          </w:p>
        </w:tc>
        <w:tc>
          <w:tcPr>
            <w:tcW w:w="2310" w:type="dxa"/>
            <w:vAlign w:val="center"/>
            <w:gridSpan w:val="2"/>
          </w:tcPr>
          <w:p>
            <w:pPr/>
            <w:r>
              <w:rPr>
                <w:lang w:val="zh-CN"/>
                <w:rFonts w:ascii="Times New Roman" w:hAnsi="Times New Roman" w:cs="Times New Roman"/>
                <w:sz w:val="20"/>
                <w:szCs w:val="20"/>
                <w:color w:val="000000"/>
              </w:rPr>
              <w:t>532331196306100076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12、李云芬</w:t>
            </w:r>
          </w:p>
        </w:tc>
        <w:tc>
          <w:tcPr>
            <w:tcW w:w="2310" w:type="dxa"/>
            <w:vAlign w:val="center"/>
            <w:gridSpan w:val="2"/>
          </w:tcPr>
          <w:p>
            <w:pPr/>
            <w:r>
              <w:rPr>
                <w:lang w:val="zh-CN"/>
                <w:rFonts w:ascii="Times New Roman" w:hAnsi="Times New Roman" w:cs="Times New Roman"/>
                <w:sz w:val="20"/>
                <w:szCs w:val="20"/>
                <w:color w:val="000000"/>
              </w:rPr>
              <w:t>532331196406050045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13、张建芬</w:t>
            </w:r>
          </w:p>
        </w:tc>
        <w:tc>
          <w:tcPr>
            <w:tcW w:w="2310" w:type="dxa"/>
            <w:vAlign w:val="center"/>
            <w:gridSpan w:val="2"/>
          </w:tcPr>
          <w:p>
            <w:pPr/>
            <w:r>
              <w:rPr>
                <w:lang w:val="zh-CN"/>
                <w:rFonts w:ascii="Times New Roman" w:hAnsi="Times New Roman" w:cs="Times New Roman"/>
                <w:sz w:val="20"/>
                <w:szCs w:val="20"/>
                <w:color w:val="000000"/>
              </w:rPr>
              <w:t>532331196710182026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14、鲁建明</w:t>
            </w:r>
          </w:p>
        </w:tc>
        <w:tc>
          <w:tcPr>
            <w:tcW w:w="2310" w:type="dxa"/>
            <w:vAlign w:val="center"/>
            <w:gridSpan w:val="2"/>
          </w:tcPr>
          <w:p>
            <w:pPr/>
            <w:r>
              <w:rPr>
                <w:lang w:val="zh-CN"/>
                <w:rFonts w:ascii="Times New Roman" w:hAnsi="Times New Roman" w:cs="Times New Roman"/>
                <w:sz w:val="20"/>
                <w:szCs w:val="20"/>
                <w:color w:val="000000"/>
              </w:rPr>
              <w:t>532331196312082011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15、李自琼</w:t>
            </w:r>
          </w:p>
        </w:tc>
        <w:tc>
          <w:tcPr>
            <w:tcW w:w="2310" w:type="dxa"/>
            <w:vAlign w:val="center"/>
            <w:gridSpan w:val="2"/>
          </w:tcPr>
          <w:p>
            <w:pPr/>
            <w:r>
              <w:rPr>
                <w:lang w:val="zh-CN"/>
                <w:rFonts w:ascii="Times New Roman" w:hAnsi="Times New Roman" w:cs="Times New Roman"/>
                <w:sz w:val="20"/>
                <w:szCs w:val="20"/>
                <w:color w:val="000000"/>
              </w:rPr>
              <w:t>532331196312080067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16、张兰芬</w:t>
            </w:r>
          </w:p>
        </w:tc>
        <w:tc>
          <w:tcPr>
            <w:tcW w:w="2310" w:type="dxa"/>
            <w:vAlign w:val="center"/>
            <w:gridSpan w:val="2"/>
          </w:tcPr>
          <w:p>
            <w:pPr/>
            <w:r>
              <w:rPr>
                <w:lang w:val="zh-CN"/>
                <w:rFonts w:ascii="Times New Roman" w:hAnsi="Times New Roman" w:cs="Times New Roman"/>
                <w:sz w:val="20"/>
                <w:szCs w:val="20"/>
                <w:color w:val="000000"/>
              </w:rPr>
              <w:t>532331195504232825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17、王从顺</w:t>
            </w:r>
          </w:p>
        </w:tc>
        <w:tc>
          <w:tcPr>
            <w:tcW w:w="2310" w:type="dxa"/>
            <w:vAlign w:val="center"/>
            <w:gridSpan w:val="2"/>
          </w:tcPr>
          <w:p>
            <w:pPr/>
            <w:r>
              <w:rPr>
                <w:lang w:val="zh-CN"/>
                <w:rFonts w:ascii="Times New Roman" w:hAnsi="Times New Roman" w:cs="Times New Roman"/>
                <w:sz w:val="20"/>
                <w:szCs w:val="20"/>
                <w:color w:val="000000"/>
              </w:rPr>
              <w:t>532331194908300017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18、李芝兰</w:t>
            </w:r>
          </w:p>
        </w:tc>
        <w:tc>
          <w:tcPr>
            <w:tcW w:w="2310" w:type="dxa"/>
            <w:vAlign w:val="center"/>
            <w:gridSpan w:val="2"/>
          </w:tcPr>
          <w:p>
            <w:pPr/>
            <w:r>
              <w:rPr>
                <w:lang w:val="zh-CN"/>
                <w:rFonts w:ascii="Times New Roman" w:hAnsi="Times New Roman" w:cs="Times New Roman"/>
                <w:sz w:val="20"/>
                <w:szCs w:val="20"/>
                <w:color w:val="000000"/>
              </w:rPr>
              <w:t>532331196105170027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19、李清仙</w:t>
            </w:r>
          </w:p>
        </w:tc>
        <w:tc>
          <w:tcPr>
            <w:tcW w:w="2310" w:type="dxa"/>
            <w:vAlign w:val="center"/>
            <w:gridSpan w:val="2"/>
          </w:tcPr>
          <w:p>
            <w:pPr/>
            <w:r>
              <w:rPr>
                <w:lang w:val="zh-CN"/>
                <w:rFonts w:ascii="Times New Roman" w:hAnsi="Times New Roman" w:cs="Times New Roman"/>
                <w:sz w:val="20"/>
                <w:szCs w:val="20"/>
                <w:color w:val="000000"/>
              </w:rPr>
              <w:t>532331196809170068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18</w:t>
            </w:r>
          </w:p>
        </w:tc>
        <w:tc>
          <w:tcPr>
            <w:tcW w:w="2310" w:type="dxa"/>
          </w:tcPr>
          <w:p>
            <w:pPr/>
            <w:r>
              <w:rPr>
                <w:lang w:val="zh-CN"/>
                <w:rFonts w:ascii="Times New Roman" w:hAnsi="Times New Roman" w:cs="Times New Roman"/>
                <w:sz w:val="20"/>
                <w:szCs w:val="20"/>
                <w:color w:val="000000"/>
              </w:rPr>
              <w:t>2980.00</w:t>
            </w:r>
          </w:p>
        </w:tc>
        <w:tc>
          <w:tcPr>
            <w:tcW w:w="2310" w:type="dxa"/>
          </w:tcPr>
          <w:p>
            <w:pPr/>
            <w:r>
              <w:rPr>
                <w:lang w:val="zh-CN"/>
                <w:rFonts w:ascii="Times New Roman" w:hAnsi="Times New Roman" w:cs="Times New Roman"/>
                <w:sz w:val="20"/>
                <w:szCs w:val="20"/>
                <w:color w:val="000000"/>
              </w:rPr>
              <w:t>53640.00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总金额：伍万叁仟陆佰肆拾元整</w:t>
            </w:r>
          </w:p>
        </w:tc>
        <w:tc>
          <w:tcPr>
            <w:tcW w:w="2310" w:type="dxa"/>
            <w:textDirection w:val="right"/>
            <w:gridSpan w:val="3"/>
          </w:tcPr>
          <w:p>
            <w:pPr/>
            <w:r>
              <w:rPr>
                <w:lang w:val="zh-CN"/>
                <w:rFonts w:ascii="Times New Roman" w:hAnsi="Times New Roman" w:cs="Times New Roman"/>
                <w:b/>
                <w:color w:val="FF0000"/>
              </w:rPr>
              <w:t>53640.00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2026/03/16</w:t>
            </w:r>
          </w:p>
        </w:tc>
        <w:tc>
          <w:tcPr>
            <w:tcW w:w="2310" w:type="dxa"/>
            <w:gridSpan w:val="7"/>
          </w:tcPr>
          <w:p>
            <w:pPr/>
            <w:r>
              <w:rPr>
                <w:lang w:val="zh-CN"/>
                <w:rFonts w:ascii="Times New Roman" w:hAnsi="Times New Roman" w:cs="Times New Roman"/>
                <w:b/>
                <w:color w:val="000000"/>
              </w:rPr>
              <w:t>昆明-珠海-中山-广州-佛山(飞机，汽车)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昆明-珠海-中山-广州-佛山 参考航班昆明-珠海MU5889 08:05-10:05早：自理       中：含      晚：含指定时间昆明机场集合，由全陪带领办理值机手续，乘机前往珠海。午餐后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后前往广州，参观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 下一层，钢筋混凝土结构，新古典式建筑风格，是沙面最高级最豪华的住宅 楼。【红楼】来自澳大利亚的建筑师帕内设计及建造的，该建筑坐北朝南，位于 沙面大街东端。因其所处的特殊位置以及建筑独特的造型和鲜明的色调，使 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 杆。【慎昌洋行旧址】建于清代，是美国资本在华设立的一家商行。坐东朝西，混有巴洛克风格的新古典主义风格建筑。奶黄色外墙非常漂亮。【台湾银行广州支行旧址】新古典主义风格，正立面排列6条贯通二层的希腊 多立克式巨柱。【广州胜利宾馆】源于1895年建造的“维多利亚大酒店 ”，是一座具有悠  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前往佛山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早餐：不含；午餐：含；晚餐：含；住宿：佛山三钻酒店</w:t>
            </w:r>
          </w:p>
        </w:tc>
      </w:tr>
      <w:tr>
        <w:tc>
          <w:tcPr>
            <w:tcW w:w="2310" w:type="dxa"/>
            <w:vAlign w:val="center"/>
            <w:vMerge w:val="restart"/>
          </w:tcPr>
          <w:p>
            <w:pPr/>
            <w:r>
              <w:rPr>
                <w:lang w:val="zh-CN"/>
                <w:rFonts w:ascii="Times New Roman" w:hAnsi="Times New Roman" w:cs="Times New Roman"/>
                <w:sz w:val="20"/>
                <w:szCs w:val="20"/>
                <w:color w:val="000000"/>
              </w:rPr>
              <w:t>2026/03/17</w:t>
            </w:r>
          </w:p>
        </w:tc>
        <w:tc>
          <w:tcPr>
            <w:tcW w:w="2310" w:type="dxa"/>
            <w:gridSpan w:val="7"/>
          </w:tcPr>
          <w:p>
            <w:pPr/>
            <w:r>
              <w:rPr>
                <w:lang w:val="zh-CN"/>
                <w:rFonts w:ascii="Times New Roman" w:hAnsi="Times New Roman" w:cs="Times New Roman"/>
                <w:b/>
                <w:color w:val="000000"/>
              </w:rPr>
              <w:t>佛山-深圳(旅游巴士)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佛山-深圳 （景点顺序导游会按实际情况前后调整）早：酒店早       中：含        晚：含早餐后驱车前往鹏城--深圳（约1.5小时），后乘车前往大梅沙海滨公园，【大梅沙海滨公园】自由活动大梅沙海滨公园位于深圳特区东部，地处南海之滨。三面环山，一面临海，中间绵延1800米的开阔沙滩。公园内一派生机勃勃的亚热带海滨风光，深圳市民和外来游客都很喜欢来这儿享受海滨休闲的时光。大梅沙海滨公园共分游泳区、运动区、休闲区、娱乐区、烧烤场等部分，有摩托艇、沙滩车、蹦极等游乐项目可供选择。参观深圳【红树林海滨生态公园】，红树林海滨生态公园坐落在滨海大道西海岸边，与福田红树林保护区相邻，西面是滨海大道秀丽迷人的植物长廊，南面是蔚蓝广阔的深圳湾，北面是平坦宽阔的滨海大道。公园独特的地理位置，自然成为人们直接观赏大海和红树林景色的旅游观光胜地，也是深圳市深圳海滨湿地长居鸟类及候鸟的栖息地。【深圳改革开放展览馆】，深圳改革开放展览馆是以改革开放为主题的展览馆，位于深圳当代艺术与城市规划馆的南侧场馆四楼和五楼，推出“大潮起珠江——广东改革开放40周年展览”，配套设施有观众互动区、休息区、文创产品区、影视厅等。大潮起珠江——广东改革开放40周年展览”集思想性、历史性、科技性、艺术性于一体，全面展示了广东改革开放40年峥嵘岁月，生动再现了广东改革开放重大决策、重大突破的壮阔历程，深入反映了改革开放40年来广东经济社会发展的丰硕成果。【深圳莲花山公园】，有兴趣可以登上山顶广场，瞻仰邓小平伟人塑像,俯瞰深圳市容市貌，深圳中心地带代表性的建筑物，深圳市民中心，远眺深圳图书馆、少年宫、京基100，平安大厦等等。它们象征着深圳特区近几年来资迅科技、文化、商业等发展的标志，可以感受深圳的繁荣昌盛。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2026/03/18</w:t>
            </w:r>
          </w:p>
        </w:tc>
        <w:tc>
          <w:tcPr>
            <w:tcW w:w="2310" w:type="dxa"/>
            <w:gridSpan w:val="7"/>
          </w:tcPr>
          <w:p>
            <w:pPr/>
            <w:r>
              <w:rPr>
                <w:lang w:val="zh-CN"/>
                <w:rFonts w:ascii="Times New Roman" w:hAnsi="Times New Roman" w:cs="Times New Roman"/>
                <w:b/>
                <w:color w:val="000000"/>
              </w:rPr>
              <w:t>深圳-香港(旅游巴士)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深圳-香港       （景点顺序导游会按实际情况前后调整）早：酒店早      中：含         晚：含早餐后经口岸前往香港，抵达香港后前往参观香港香火最旺的【黄大仙祠】，黄大仙祠又名【啬色园】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的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香港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早餐：含；午餐：含；晚餐：含；住宿：香港四钻酒店</w:t>
            </w:r>
          </w:p>
        </w:tc>
      </w:tr>
      <w:tr>
        <w:tc>
          <w:tcPr>
            <w:tcW w:w="2310" w:type="dxa"/>
            <w:vAlign w:val="center"/>
            <w:vMerge w:val="restart"/>
          </w:tcPr>
          <w:p>
            <w:pPr/>
            <w:r>
              <w:rPr>
                <w:lang w:val="zh-CN"/>
                <w:rFonts w:ascii="Times New Roman" w:hAnsi="Times New Roman" w:cs="Times New Roman"/>
                <w:sz w:val="20"/>
                <w:szCs w:val="20"/>
                <w:color w:val="000000"/>
              </w:rPr>
              <w:t>2026/03/19</w:t>
            </w:r>
          </w:p>
        </w:tc>
        <w:tc>
          <w:tcPr>
            <w:tcW w:w="2310" w:type="dxa"/>
            <w:gridSpan w:val="7"/>
          </w:tcPr>
          <w:p>
            <w:pPr/>
            <w:r>
              <w:rPr>
                <w:lang w:val="zh-CN"/>
                <w:rFonts w:ascii="Times New Roman" w:hAnsi="Times New Roman" w:cs="Times New Roman"/>
                <w:b/>
                <w:color w:val="000000"/>
              </w:rPr>
              <w:t>香港-澳门(旅游巴士)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香港-澳门      （景点顺序导游会按实际情况前后调整）        早：打包早       中：含      晚：含早餐后，乘车前往港珠澳大桥*香港人工岛口岸出境过关，乘坐【港珠澳大桥穿梭巴士】（含金巴）前往澳门。Tips：【中国奇迹-港珠澳大桥】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后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晚餐后入住澳门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早餐：含；午餐：含；晚餐：含；住宿：澳门四钻酒店</w:t>
            </w:r>
          </w:p>
        </w:tc>
      </w:tr>
      <w:tr>
        <w:tc>
          <w:tcPr>
            <w:tcW w:w="2310" w:type="dxa"/>
            <w:vAlign w:val="center"/>
            <w:vMerge w:val="restart"/>
          </w:tcPr>
          <w:p>
            <w:pPr/>
            <w:r>
              <w:rPr>
                <w:lang w:val="zh-CN"/>
                <w:rFonts w:ascii="Times New Roman" w:hAnsi="Times New Roman" w:cs="Times New Roman"/>
                <w:sz w:val="20"/>
                <w:szCs w:val="20"/>
                <w:color w:val="000000"/>
              </w:rPr>
              <w:t>2026/03/20</w:t>
            </w:r>
          </w:p>
        </w:tc>
        <w:tc>
          <w:tcPr>
            <w:tcW w:w="2310" w:type="dxa"/>
            <w:gridSpan w:val="7"/>
          </w:tcPr>
          <w:p>
            <w:pPr/>
            <w:r>
              <w:rPr>
                <w:lang w:val="zh-CN"/>
                <w:rFonts w:ascii="Times New Roman" w:hAnsi="Times New Roman" w:cs="Times New Roman"/>
                <w:b/>
                <w:color w:val="000000"/>
              </w:rPr>
              <w:t>澳门-珠海(旅游巴士)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澳门-珠海 （景点顺序导游会按实际情况前后调整）早：打包早       中：含      晚：含早餐后经口岸出关珠海，抵达珠海后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参观【石景山公园】石景山公园依山傍水面海，风景精致迷人，是珠海市区内自然景观和生态环境保护的十分优良的公园，是集观赏石景，登高望远，儿童游乐，体育极限运动和娱乐高科技成果展示为一体的花园式公园。午餐【珠海特色美食“海鲜餐”】午餐后前往被誉为珠海的“万里长城”【珠海浪漫情侣路】（游览约45分钟)海滨观光路自由活动！打卡【爱情邮局】、打卡【珠海渔女】、打卡【日月贝】，观赏珠海最大沙滩【海滨沙滩】体验浪漫海滨城市风光。晚餐后入住珠海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早餐：含；午餐：含；晚餐：含；住宿：珠海三钻酒店</w:t>
            </w:r>
          </w:p>
        </w:tc>
      </w:tr>
      <w:tr>
        <w:tc>
          <w:tcPr>
            <w:tcW w:w="2310" w:type="dxa"/>
            <w:vAlign w:val="center"/>
            <w:vMerge w:val="restart"/>
          </w:tcPr>
          <w:p>
            <w:pPr/>
            <w:r>
              <w:rPr>
                <w:lang w:val="zh-CN"/>
                <w:rFonts w:ascii="Times New Roman" w:hAnsi="Times New Roman" w:cs="Times New Roman"/>
                <w:sz w:val="20"/>
                <w:szCs w:val="20"/>
                <w:color w:val="000000"/>
              </w:rPr>
              <w:t>2026/03/21</w:t>
            </w:r>
          </w:p>
        </w:tc>
        <w:tc>
          <w:tcPr>
            <w:tcW w:w="2310" w:type="dxa"/>
            <w:gridSpan w:val="7"/>
          </w:tcPr>
          <w:p>
            <w:pPr/>
            <w:r>
              <w:rPr>
                <w:lang w:val="zh-CN"/>
                <w:rFonts w:ascii="Times New Roman" w:hAnsi="Times New Roman" w:cs="Times New Roman"/>
                <w:b/>
                <w:color w:val="000000"/>
              </w:rPr>
              <w:t>珠海→昆明(飞机)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珠海→昆明 参考航班 珠海-昆明MU5890 11:05-13:25早：酒店早/打包早    中：自理      晚：自理早餐后，乘车前往珠海机场，乘机返回昆明，结束愉快的旅程。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陈丽红</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2026/3/12 10:29:31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