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文山中旺/刘兴梅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刘兴梅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YGA06DC260401A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0401荣耀粤港澳双动6天（香港住 澳门不住）</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15(15大)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2026-04-01 D3820 普者黑→广州南 10:56-18:20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2026-04-06 D3814 广州南→普者黑 08:35-15:1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1、杨荣玲</w:t>
            </w:r>
          </w:p>
        </w:tc>
        <w:tc>
          <w:tcPr>
            <w:tcW w:w="2310" w:type="dxa"/>
            <w:vAlign w:val="center"/>
            <w:gridSpan w:val="2"/>
          </w:tcPr>
          <w:p>
            <w:pPr/>
            <w:r>
              <w:rPr>
                <w:lang w:val="zh-CN"/>
                <w:rFonts w:ascii="Times New Roman" w:hAnsi="Times New Roman" w:cs="Times New Roman"/>
                <w:sz w:val="20"/>
                <w:szCs w:val="20"/>
                <w:color w:val="000000"/>
              </w:rPr>
              <w:t>532621197712121321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2、左大碧</w:t>
            </w:r>
          </w:p>
        </w:tc>
        <w:tc>
          <w:tcPr>
            <w:tcW w:w="2310" w:type="dxa"/>
            <w:vAlign w:val="center"/>
            <w:gridSpan w:val="2"/>
          </w:tcPr>
          <w:p>
            <w:pPr/>
            <w:r>
              <w:rPr>
                <w:lang w:val="zh-CN"/>
                <w:rFonts w:ascii="Times New Roman" w:hAnsi="Times New Roman" w:cs="Times New Roman"/>
                <w:sz w:val="20"/>
                <w:szCs w:val="20"/>
                <w:color w:val="000000"/>
              </w:rPr>
              <w:t>532621197511081327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3、梁红花</w:t>
            </w:r>
          </w:p>
        </w:tc>
        <w:tc>
          <w:tcPr>
            <w:tcW w:w="2310" w:type="dxa"/>
            <w:vAlign w:val="center"/>
            <w:gridSpan w:val="2"/>
          </w:tcPr>
          <w:p>
            <w:pPr/>
            <w:r>
              <w:rPr>
                <w:lang w:val="zh-CN"/>
                <w:rFonts w:ascii="Times New Roman" w:hAnsi="Times New Roman" w:cs="Times New Roman"/>
                <w:sz w:val="20"/>
                <w:szCs w:val="20"/>
                <w:color w:val="000000"/>
              </w:rPr>
              <w:t>532621197803163121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4、李翠琼</w:t>
            </w:r>
          </w:p>
        </w:tc>
        <w:tc>
          <w:tcPr>
            <w:tcW w:w="2310" w:type="dxa"/>
            <w:vAlign w:val="center"/>
            <w:gridSpan w:val="2"/>
          </w:tcPr>
          <w:p>
            <w:pPr/>
            <w:r>
              <w:rPr>
                <w:lang w:val="zh-CN"/>
                <w:rFonts w:ascii="Times New Roman" w:hAnsi="Times New Roman" w:cs="Times New Roman"/>
                <w:sz w:val="20"/>
                <w:szCs w:val="20"/>
                <w:color w:val="000000"/>
              </w:rPr>
              <w:t>532621197503030327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5、王成道</w:t>
            </w:r>
          </w:p>
        </w:tc>
        <w:tc>
          <w:tcPr>
            <w:tcW w:w="2310" w:type="dxa"/>
            <w:vAlign w:val="center"/>
            <w:gridSpan w:val="2"/>
          </w:tcPr>
          <w:p>
            <w:pPr/>
            <w:r>
              <w:rPr>
                <w:lang w:val="zh-CN"/>
                <w:rFonts w:ascii="Times New Roman" w:hAnsi="Times New Roman" w:cs="Times New Roman"/>
                <w:sz w:val="20"/>
                <w:szCs w:val="20"/>
                <w:color w:val="000000"/>
              </w:rPr>
              <w:t>532625195905111716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6、王恩祥</w:t>
            </w:r>
          </w:p>
        </w:tc>
        <w:tc>
          <w:tcPr>
            <w:tcW w:w="2310" w:type="dxa"/>
            <w:vAlign w:val="center"/>
            <w:gridSpan w:val="2"/>
          </w:tcPr>
          <w:p>
            <w:pPr/>
            <w:r>
              <w:rPr>
                <w:lang w:val="zh-CN"/>
                <w:rFonts w:ascii="Times New Roman" w:hAnsi="Times New Roman" w:cs="Times New Roman"/>
                <w:sz w:val="20"/>
                <w:szCs w:val="20"/>
                <w:color w:val="000000"/>
              </w:rPr>
              <w:t>532625195511101515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7、陆加福</w:t>
            </w:r>
          </w:p>
        </w:tc>
        <w:tc>
          <w:tcPr>
            <w:tcW w:w="2310" w:type="dxa"/>
            <w:vAlign w:val="center"/>
            <w:gridSpan w:val="2"/>
          </w:tcPr>
          <w:p>
            <w:pPr/>
            <w:r>
              <w:rPr>
                <w:lang w:val="zh-CN"/>
                <w:rFonts w:ascii="Times New Roman" w:hAnsi="Times New Roman" w:cs="Times New Roman"/>
                <w:sz w:val="20"/>
                <w:szCs w:val="20"/>
                <w:color w:val="000000"/>
              </w:rPr>
              <w:t>53262719631105335X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8、侬美琼</w:t>
            </w:r>
          </w:p>
        </w:tc>
        <w:tc>
          <w:tcPr>
            <w:tcW w:w="2310" w:type="dxa"/>
            <w:vAlign w:val="center"/>
            <w:gridSpan w:val="2"/>
          </w:tcPr>
          <w:p>
            <w:pPr/>
            <w:r>
              <w:rPr>
                <w:lang w:val="zh-CN"/>
                <w:rFonts w:ascii="Times New Roman" w:hAnsi="Times New Roman" w:cs="Times New Roman"/>
                <w:sz w:val="20"/>
                <w:szCs w:val="20"/>
                <w:color w:val="000000"/>
              </w:rPr>
              <w:t>532621195512206022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9、王光清</w:t>
            </w:r>
          </w:p>
        </w:tc>
        <w:tc>
          <w:tcPr>
            <w:tcW w:w="2310" w:type="dxa"/>
            <w:vAlign w:val="center"/>
            <w:gridSpan w:val="2"/>
          </w:tcPr>
          <w:p>
            <w:pPr/>
            <w:r>
              <w:rPr>
                <w:lang w:val="zh-CN"/>
                <w:rFonts w:ascii="Times New Roman" w:hAnsi="Times New Roman" w:cs="Times New Roman"/>
                <w:sz w:val="20"/>
                <w:szCs w:val="20"/>
                <w:color w:val="000000"/>
              </w:rPr>
              <w:t>53262519570914211X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10、朱选洪</w:t>
            </w:r>
          </w:p>
        </w:tc>
        <w:tc>
          <w:tcPr>
            <w:tcW w:w="2310" w:type="dxa"/>
            <w:vAlign w:val="center"/>
            <w:gridSpan w:val="2"/>
          </w:tcPr>
          <w:p>
            <w:pPr/>
            <w:r>
              <w:rPr>
                <w:lang w:val="zh-CN"/>
                <w:rFonts w:ascii="Times New Roman" w:hAnsi="Times New Roman" w:cs="Times New Roman"/>
                <w:sz w:val="20"/>
                <w:szCs w:val="20"/>
                <w:color w:val="000000"/>
              </w:rPr>
              <w:t>532625196708141718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11、杨锦秀</w:t>
            </w:r>
          </w:p>
        </w:tc>
        <w:tc>
          <w:tcPr>
            <w:tcW w:w="2310" w:type="dxa"/>
            <w:vAlign w:val="center"/>
            <w:gridSpan w:val="2"/>
          </w:tcPr>
          <w:p>
            <w:pPr/>
            <w:r>
              <w:rPr>
                <w:lang w:val="zh-CN"/>
                <w:rFonts w:ascii="Times New Roman" w:hAnsi="Times New Roman" w:cs="Times New Roman"/>
                <w:sz w:val="20"/>
                <w:szCs w:val="20"/>
                <w:color w:val="000000"/>
              </w:rPr>
              <w:t>532625196802031726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12、何正华</w:t>
            </w:r>
          </w:p>
        </w:tc>
        <w:tc>
          <w:tcPr>
            <w:tcW w:w="2310" w:type="dxa"/>
            <w:vAlign w:val="center"/>
            <w:gridSpan w:val="2"/>
          </w:tcPr>
          <w:p>
            <w:pPr/>
            <w:r>
              <w:rPr>
                <w:lang w:val="zh-CN"/>
                <w:rFonts w:ascii="Times New Roman" w:hAnsi="Times New Roman" w:cs="Times New Roman"/>
                <w:sz w:val="20"/>
                <w:szCs w:val="20"/>
                <w:color w:val="000000"/>
              </w:rPr>
              <w:t>532627196204243318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13、陆荣生</w:t>
            </w:r>
          </w:p>
        </w:tc>
        <w:tc>
          <w:tcPr>
            <w:tcW w:w="2310" w:type="dxa"/>
            <w:vAlign w:val="center"/>
            <w:gridSpan w:val="2"/>
          </w:tcPr>
          <w:p>
            <w:pPr/>
            <w:r>
              <w:rPr>
                <w:lang w:val="zh-CN"/>
                <w:rFonts w:ascii="Times New Roman" w:hAnsi="Times New Roman" w:cs="Times New Roman"/>
                <w:sz w:val="20"/>
                <w:szCs w:val="20"/>
                <w:color w:val="000000"/>
              </w:rPr>
              <w:t>53262719680906331X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14、陆彩艳</w:t>
            </w:r>
          </w:p>
        </w:tc>
        <w:tc>
          <w:tcPr>
            <w:tcW w:w="2310" w:type="dxa"/>
            <w:vAlign w:val="center"/>
            <w:gridSpan w:val="2"/>
          </w:tcPr>
          <w:p>
            <w:pPr/>
            <w:r>
              <w:rPr>
                <w:lang w:val="zh-CN"/>
                <w:rFonts w:ascii="Times New Roman" w:hAnsi="Times New Roman" w:cs="Times New Roman"/>
                <w:sz w:val="20"/>
                <w:szCs w:val="20"/>
                <w:color w:val="000000"/>
              </w:rPr>
              <w:t>532625197503062340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15、陆俊羽</w:t>
            </w:r>
          </w:p>
        </w:tc>
        <w:tc>
          <w:tcPr>
            <w:tcW w:w="2310" w:type="dxa"/>
            <w:vAlign w:val="center"/>
            <w:gridSpan w:val="2"/>
          </w:tcPr>
          <w:p>
            <w:pPr/>
            <w:r>
              <w:rPr>
                <w:lang w:val="zh-CN"/>
                <w:rFonts w:ascii="Times New Roman" w:hAnsi="Times New Roman" w:cs="Times New Roman"/>
                <w:sz w:val="20"/>
                <w:szCs w:val="20"/>
                <w:color w:val="000000"/>
              </w:rPr>
              <w:t>532625200207020028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15</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44700.00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总金额：肆万肆仟柒佰元整</w:t>
            </w:r>
          </w:p>
        </w:tc>
        <w:tc>
          <w:tcPr>
            <w:tcW w:w="2310" w:type="dxa"/>
            <w:textDirection w:val="right"/>
            <w:gridSpan w:val="3"/>
          </w:tcPr>
          <w:p>
            <w:pPr/>
            <w:r>
              <w:rPr>
                <w:lang w:val="zh-CN"/>
                <w:rFonts w:ascii="Times New Roman" w:hAnsi="Times New Roman" w:cs="Times New Roman"/>
                <w:b/>
                <w:color w:val="FF0000"/>
              </w:rPr>
              <w:t>44700.00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普者黑-广州南(动车)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普者黑-广州南 参考车次：D382010:56-18:20早：自理       中：自理        晚：含指定时间抵达普者黑站，乘坐动车前往广州。抵达广州后，接站享用晚餐后入住酒店。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早餐：不含；午餐：不含；晚餐：含；住宿：广州三钻酒店</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广州-深圳(旅游巴士)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广州-深圳（景点顺序导游会按实际情况前后调整）早：酒店早     中：含        晚：含早餐后前往中国近现代历史上著名军事学校-【黄埔军校】（周一闭馆如遇景区关闭将调整为其他景点）中华民国10年(1921年)12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下一层，钢筋混凝土结构，新古典式建筑风格，是沙面最高级最豪华的住宅 楼。【红楼】来自澳大利亚的建筑师帕内设计及建造的，该建筑坐北朝南，位于沙面大街东端。因其所处的特殊位置以及建筑独特的造型和鲜明的色调，使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杆。【慎昌洋行旧址】建于清代，是美国资本在华设立的一家商行。坐东朝西，混有巴洛克风格的新古典主义风格建筑。奶黄色外墙非常漂亮。【台湾银行广州支行旧址】新古典主义风格，正立面排列6条贯通二层的希腊多立克式巨柱。【广州胜利宾馆】源于1895年建造的“维多利亚大酒店 ”，是一座具有悠久历史的四星级酒店。1957年由郭沫若先生亲笔题馆更名为“广东胜利宾馆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晚餐后乘车前往深圳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深圳-香港(旅游巴士)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深圳-香港（景点顺序导游会按实际情况前后调整）早：酒店早       中：含        晚：含早餐后经口岸出关前往香港，抵达香港后前往参观香港香火最旺的【黄大仙祠】，黄大仙祠又名【啬色园】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香港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早餐：含；午餐：含；晚餐：含；住宿：香港四钻酒店</w:t>
            </w:r>
          </w:p>
        </w:tc>
      </w:tr>
      <w:tr>
        <w:tc>
          <w:tcPr>
            <w:tcW w:w="2310" w:type="dxa"/>
            <w:vAlign w:val="center"/>
            <w:vMerge w:val="restart"/>
          </w:tcPr>
          <w:p>
            <w:pPr/>
            <w:r>
              <w:rPr>
                <w:lang w:val="zh-CN"/>
                <w:rFonts w:ascii="Times New Roman" w:hAnsi="Times New Roman" w:cs="Times New Roman"/>
                <w:sz w:val="20"/>
                <w:szCs w:val="20"/>
                <w:color w:val="000000"/>
              </w:rPr>
              <w:t>2026/04/04</w:t>
            </w:r>
          </w:p>
        </w:tc>
        <w:tc>
          <w:tcPr>
            <w:tcW w:w="2310" w:type="dxa"/>
            <w:gridSpan w:val="7"/>
          </w:tcPr>
          <w:p>
            <w:pPr/>
            <w:r>
              <w:rPr>
                <w:lang w:val="zh-CN"/>
                <w:rFonts w:ascii="Times New Roman" w:hAnsi="Times New Roman" w:cs="Times New Roman"/>
                <w:b/>
                <w:color w:val="000000"/>
              </w:rPr>
              <w:t>香港-澳门-珠海(旅游巴士)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香港-澳门-珠海（景点顺序导游会按实际情况前后调整）早：酒店早      中：含         晚：含早餐后乘车前往港珠澳大桥香港人工岛口岸出境过关，乘坐【港珠澳大桥穿梭巴士】（含金巴）前往澳门。Tips：【中国奇迹-港珠澳大桥】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后经口岸出关珠海，晚餐后入住珠海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早餐：含；午餐：含；晚餐：含；住宿：珠海三钻酒店</w:t>
            </w:r>
          </w:p>
        </w:tc>
      </w:tr>
      <w:tr>
        <w:tc>
          <w:tcPr>
            <w:tcW w:w="2310" w:type="dxa"/>
            <w:vAlign w:val="center"/>
            <w:vMerge w:val="restart"/>
          </w:tcPr>
          <w:p>
            <w:pPr/>
            <w:r>
              <w:rPr>
                <w:lang w:val="zh-CN"/>
                <w:rFonts w:ascii="Times New Roman" w:hAnsi="Times New Roman" w:cs="Times New Roman"/>
                <w:sz w:val="20"/>
                <w:szCs w:val="20"/>
                <w:color w:val="000000"/>
              </w:rPr>
              <w:t>2026/04/05</w:t>
            </w:r>
          </w:p>
        </w:tc>
        <w:tc>
          <w:tcPr>
            <w:tcW w:w="2310" w:type="dxa"/>
            <w:gridSpan w:val="7"/>
          </w:tcPr>
          <w:p>
            <w:pPr/>
            <w:r>
              <w:rPr>
                <w:lang w:val="zh-CN"/>
                <w:rFonts w:ascii="Times New Roman" w:hAnsi="Times New Roman" w:cs="Times New Roman"/>
                <w:b/>
                <w:color w:val="000000"/>
              </w:rPr>
              <w:t>珠海-中山-广州(旅游巴士)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珠海-中山-广州    （景点顺序导游会按实际情况前后调整）        早：酒店早       中：含      晚：含早餐后前往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参观【石景山公园】石景山公园依山傍水面海，风景精致迷人，是珠海市区内自然景观和生态环境保护的十分优良的公园，是集观赏石景，登高望远，儿童游乐，体育极限运动和娱乐高科技成果展示为一体的花园式公园。午餐【珠海特色美食“海鲜餐”】午餐后前往被誉为珠海的“万里长城”【珠海浪漫情侣路】（游览约45分钟)海滨观光路自由活动！打卡【爱情邮局】、打卡【珠海渔女】、打卡【日月贝】，观赏珠海最大沙滩【海滨沙滩】体验浪漫海滨城市风光。随后乘车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晚餐后入住广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早餐：含；午餐：含；晚餐：含；住宿：广州三钻酒店</w:t>
            </w:r>
          </w:p>
        </w:tc>
      </w:tr>
      <w:tr>
        <w:tc>
          <w:tcPr>
            <w:tcW w:w="2310" w:type="dxa"/>
            <w:vAlign w:val="center"/>
            <w:vMerge w:val="restart"/>
          </w:tcPr>
          <w:p>
            <w:pPr/>
            <w:r>
              <w:rPr>
                <w:lang w:val="zh-CN"/>
                <w:rFonts w:ascii="Times New Roman" w:hAnsi="Times New Roman" w:cs="Times New Roman"/>
                <w:sz w:val="20"/>
                <w:szCs w:val="20"/>
                <w:color w:val="000000"/>
              </w:rPr>
              <w:t>2026/04/06</w:t>
            </w:r>
          </w:p>
        </w:tc>
        <w:tc>
          <w:tcPr>
            <w:tcW w:w="2310" w:type="dxa"/>
            <w:gridSpan w:val="7"/>
          </w:tcPr>
          <w:p>
            <w:pPr/>
            <w:r>
              <w:rPr>
                <w:lang w:val="zh-CN"/>
                <w:rFonts w:ascii="Times New Roman" w:hAnsi="Times New Roman" w:cs="Times New Roman"/>
                <w:b/>
                <w:color w:val="000000"/>
              </w:rPr>
              <w:t>广州-普者黑(动车)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广州南-普者黑参考车次：D387409:16-16:00早：酒店早/打包早       中：自理      晚：自理早餐后，根据动车时间乘坐动车返回普者黑，结束愉快的旅程。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費用包括：1、旅游交通：普者黑-广州南往返动车二等座，空调豪华大巴；2、全程用餐：5早餐+9正餐（广东省餐标25元/人/餐,8菜1汤，港澳餐标50元/人/餐，7菜1汤）；3、全程住宿：4晚网评三钻酒店+香港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 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 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刘兴梅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19:46:54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