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携程孙平瑞</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孙平瑞</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18388224315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BH-CGT20260413G</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4-13老特惠北华-城楼-北进上出-北京天津+华东六市（三国城）双飞单卧10日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13(13大)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2026-04-13  CZ6112 昆明→北京 14:45-18:15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2026-04-22 CZ8755 上海→昆明 14:50-18:2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1、赵翠娥</w:t>
            </w:r>
          </w:p>
        </w:tc>
        <w:tc>
          <w:tcPr>
            <w:tcW w:w="2310" w:type="dxa"/>
            <w:vAlign w:val="center"/>
            <w:gridSpan w:val="2"/>
          </w:tcPr>
          <w:p>
            <w:pPr/>
            <w:r>
              <w:rPr>
                <w:lang w:val="zh-CN"/>
                <w:rFonts w:ascii="Times New Roman" w:hAnsi="Times New Roman" w:cs="Times New Roman"/>
                <w:sz w:val="20"/>
                <w:szCs w:val="20"/>
                <w:color w:val="000000"/>
              </w:rPr>
              <w:t>532228195906090029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2、潘存美</w:t>
            </w:r>
          </w:p>
        </w:tc>
        <w:tc>
          <w:tcPr>
            <w:tcW w:w="2310" w:type="dxa"/>
            <w:vAlign w:val="center"/>
            <w:gridSpan w:val="2"/>
          </w:tcPr>
          <w:p>
            <w:pPr/>
            <w:r>
              <w:rPr>
                <w:lang w:val="zh-CN"/>
                <w:rFonts w:ascii="Times New Roman" w:hAnsi="Times New Roman" w:cs="Times New Roman"/>
                <w:sz w:val="20"/>
                <w:szCs w:val="20"/>
                <w:color w:val="000000"/>
              </w:rPr>
              <w:t>530322196608210029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3、何双美</w:t>
            </w:r>
          </w:p>
        </w:tc>
        <w:tc>
          <w:tcPr>
            <w:tcW w:w="2310" w:type="dxa"/>
            <w:vAlign w:val="center"/>
            <w:gridSpan w:val="2"/>
          </w:tcPr>
          <w:p>
            <w:pPr/>
            <w:r>
              <w:rPr>
                <w:lang w:val="zh-CN"/>
                <w:rFonts w:ascii="Times New Roman" w:hAnsi="Times New Roman" w:cs="Times New Roman"/>
                <w:sz w:val="20"/>
                <w:szCs w:val="20"/>
                <w:color w:val="000000"/>
              </w:rPr>
              <w:t>530322196804150027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4、杨会珍</w:t>
            </w:r>
          </w:p>
        </w:tc>
        <w:tc>
          <w:tcPr>
            <w:tcW w:w="2310" w:type="dxa"/>
            <w:vAlign w:val="center"/>
            <w:gridSpan w:val="2"/>
          </w:tcPr>
          <w:p>
            <w:pPr/>
            <w:r>
              <w:rPr>
                <w:lang w:val="zh-CN"/>
                <w:rFonts w:ascii="Times New Roman" w:hAnsi="Times New Roman" w:cs="Times New Roman"/>
                <w:sz w:val="20"/>
                <w:szCs w:val="20"/>
                <w:color w:val="000000"/>
              </w:rPr>
              <w:t>532228196212160023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5、赵金娥</w:t>
            </w:r>
          </w:p>
        </w:tc>
        <w:tc>
          <w:tcPr>
            <w:tcW w:w="2310" w:type="dxa"/>
            <w:vAlign w:val="center"/>
            <w:gridSpan w:val="2"/>
          </w:tcPr>
          <w:p>
            <w:pPr/>
            <w:r>
              <w:rPr>
                <w:lang w:val="zh-CN"/>
                <w:rFonts w:ascii="Times New Roman" w:hAnsi="Times New Roman" w:cs="Times New Roman"/>
                <w:sz w:val="20"/>
                <w:szCs w:val="20"/>
                <w:color w:val="000000"/>
              </w:rPr>
              <w:t>53222819640815002X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6、李荣香</w:t>
            </w:r>
          </w:p>
        </w:tc>
        <w:tc>
          <w:tcPr>
            <w:tcW w:w="2310" w:type="dxa"/>
            <w:vAlign w:val="center"/>
            <w:gridSpan w:val="2"/>
          </w:tcPr>
          <w:p>
            <w:pPr/>
            <w:r>
              <w:rPr>
                <w:lang w:val="zh-CN"/>
                <w:rFonts w:ascii="Times New Roman" w:hAnsi="Times New Roman" w:cs="Times New Roman"/>
                <w:sz w:val="20"/>
                <w:szCs w:val="20"/>
                <w:color w:val="000000"/>
              </w:rPr>
              <w:t>532228196004230023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7、袁官定</w:t>
            </w:r>
          </w:p>
        </w:tc>
        <w:tc>
          <w:tcPr>
            <w:tcW w:w="2310" w:type="dxa"/>
            <w:vAlign w:val="center"/>
            <w:gridSpan w:val="2"/>
          </w:tcPr>
          <w:p>
            <w:pPr/>
            <w:r>
              <w:rPr>
                <w:lang w:val="zh-CN"/>
                <w:rFonts w:ascii="Times New Roman" w:hAnsi="Times New Roman" w:cs="Times New Roman"/>
                <w:sz w:val="20"/>
                <w:szCs w:val="20"/>
                <w:color w:val="000000"/>
              </w:rPr>
              <w:t>532228196306260025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8、方官所</w:t>
            </w:r>
          </w:p>
        </w:tc>
        <w:tc>
          <w:tcPr>
            <w:tcW w:w="2310" w:type="dxa"/>
            <w:vAlign w:val="center"/>
            <w:gridSpan w:val="2"/>
          </w:tcPr>
          <w:p>
            <w:pPr/>
            <w:r>
              <w:rPr>
                <w:lang w:val="zh-CN"/>
                <w:rFonts w:ascii="Times New Roman" w:hAnsi="Times New Roman" w:cs="Times New Roman"/>
                <w:sz w:val="20"/>
                <w:szCs w:val="20"/>
                <w:color w:val="000000"/>
              </w:rPr>
              <w:t>53222819621008002X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9、潘鸭焕</w:t>
            </w:r>
          </w:p>
        </w:tc>
        <w:tc>
          <w:tcPr>
            <w:tcW w:w="2310" w:type="dxa"/>
            <w:vAlign w:val="center"/>
            <w:gridSpan w:val="2"/>
          </w:tcPr>
          <w:p>
            <w:pPr/>
            <w:r>
              <w:rPr>
                <w:lang w:val="zh-CN"/>
                <w:rFonts w:ascii="Times New Roman" w:hAnsi="Times New Roman" w:cs="Times New Roman"/>
                <w:sz w:val="20"/>
                <w:szCs w:val="20"/>
                <w:color w:val="000000"/>
              </w:rPr>
              <w:t>532228196006210325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10、资竹萍</w:t>
            </w:r>
          </w:p>
        </w:tc>
        <w:tc>
          <w:tcPr>
            <w:tcW w:w="2310" w:type="dxa"/>
            <w:vAlign w:val="center"/>
            <w:gridSpan w:val="2"/>
          </w:tcPr>
          <w:p>
            <w:pPr/>
            <w:r>
              <w:rPr>
                <w:lang w:val="zh-CN"/>
                <w:rFonts w:ascii="Times New Roman" w:hAnsi="Times New Roman" w:cs="Times New Roman"/>
                <w:sz w:val="20"/>
                <w:szCs w:val="20"/>
                <w:color w:val="000000"/>
              </w:rPr>
              <w:t>532228197102050063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11、金丽</w:t>
            </w:r>
          </w:p>
        </w:tc>
        <w:tc>
          <w:tcPr>
            <w:tcW w:w="2310" w:type="dxa"/>
            <w:vAlign w:val="center"/>
            <w:gridSpan w:val="2"/>
          </w:tcPr>
          <w:p>
            <w:pPr/>
            <w:r>
              <w:rPr>
                <w:lang w:val="zh-CN"/>
                <w:rFonts w:ascii="Times New Roman" w:hAnsi="Times New Roman" w:cs="Times New Roman"/>
                <w:sz w:val="20"/>
                <w:szCs w:val="20"/>
                <w:color w:val="000000"/>
              </w:rPr>
              <w:t>530322198503170066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12、武桃存</w:t>
            </w:r>
          </w:p>
        </w:tc>
        <w:tc>
          <w:tcPr>
            <w:tcW w:w="2310" w:type="dxa"/>
            <w:vAlign w:val="center"/>
            <w:gridSpan w:val="2"/>
          </w:tcPr>
          <w:p>
            <w:pPr/>
            <w:r>
              <w:rPr>
                <w:lang w:val="zh-CN"/>
                <w:rFonts w:ascii="Times New Roman" w:hAnsi="Times New Roman" w:cs="Times New Roman"/>
                <w:sz w:val="20"/>
                <w:szCs w:val="20"/>
                <w:color w:val="000000"/>
              </w:rPr>
              <w:t>532228196306060429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13、汪小礼</w:t>
            </w:r>
          </w:p>
        </w:tc>
        <w:tc>
          <w:tcPr>
            <w:tcW w:w="2310" w:type="dxa"/>
            <w:vAlign w:val="center"/>
            <w:gridSpan w:val="2"/>
          </w:tcPr>
          <w:p>
            <w:pPr/>
            <w:r>
              <w:rPr>
                <w:lang w:val="zh-CN"/>
                <w:rFonts w:ascii="Times New Roman" w:hAnsi="Times New Roman" w:cs="Times New Roman"/>
                <w:sz w:val="20"/>
                <w:szCs w:val="20"/>
                <w:color w:val="000000"/>
              </w:rPr>
              <w:t>532228196201090015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2950.00</w:t>
            </w:r>
          </w:p>
        </w:tc>
        <w:tc>
          <w:tcPr>
            <w:tcW w:w="2310" w:type="dxa"/>
          </w:tcPr>
          <w:p>
            <w:pPr/>
            <w:r>
              <w:rPr>
                <w:lang w:val="zh-CN"/>
                <w:rFonts w:ascii="Times New Roman" w:hAnsi="Times New Roman" w:cs="Times New Roman"/>
                <w:sz w:val="20"/>
                <w:szCs w:val="20"/>
                <w:color w:val="000000"/>
              </w:rPr>
              <w:t>38350.00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总金额：叁万捌仟叁佰伍拾元整</w:t>
            </w:r>
          </w:p>
        </w:tc>
        <w:tc>
          <w:tcPr>
            <w:tcW w:w="2310" w:type="dxa"/>
            <w:textDirection w:val="right"/>
            <w:gridSpan w:val="3"/>
          </w:tcPr>
          <w:p>
            <w:pPr/>
            <w:r>
              <w:rPr>
                <w:lang w:val="zh-CN"/>
                <w:rFonts w:ascii="Times New Roman" w:hAnsi="Times New Roman" w:cs="Times New Roman"/>
                <w:b/>
                <w:color w:val="FF0000"/>
              </w:rPr>
              <w:t>38350.00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天安门广场→城楼→故宫→景山公园→什刹海→前门大街(巴士)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登【天安门城楼】门票实行预约制，如预约不上，退还门票或者替换成其他可替换的景点；外观【毛主席纪念堂】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升旗仪式→八达岭长城→鸟巢水立方冰丝带外景(巴士)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参观【八达岭长城】(约120分钟)，感受“不到长城非好汉”的豪迈气魄，后前往【奥林区克公园】（约30分钟)【鸟巢、水立方外观】【冰丝带外观】为背景拍照留念，零距离体验2008激情、奥运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天坛公园（首道）→颐和园(巴士)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游览【颐和园】世界上最美丽的皇家园林，是保存最完整的一座皇行宫御苑，被誉为“皇家园林博物馆”有山有水有画，十里青山行画里，双飞白鸟似江南的园林风光。前往清华/北大外景并拍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周邓纪念馆→古文化街→食品街→意大利风情街→华东(火车上)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     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苏和盛珍珠→乌镇东栅→船游西湖(巴士)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含游船），漫步苏堤，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后车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上海→昆明；(飞机)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北京，上海-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如果对餐饮有较高需求请谨慎选择此产品。特色餐饮：京津段：老北京烤鸭餐（30元），北京饺子宴（30元），北京自助餐或东来顺涮羊肉（30元），品尝天津狗不理包子（20元）；其他未做说明的餐标20元/人/餐华东段：无锡酱排骨（20），南京盐水鸭（20），龙井御茶宴（30），太湖河鲜宴（20），水乡特色宴（20），其他未做说明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城楼，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京津段：1、老北京堂会+黄包车200元/人；    2、奥运杂技演出220元/人；3、天津极地海洋馆240元/人；       4、慈禧水道150元/人；华东段：1、夜游上海登高套餐320元/人      2、宋城千古情园区+表演320元/人         3、苏州游船150元/人            凡是参加自费项目的团员所有的优惠证件不予以使用（如老年证、学生证、教师证等）。不参加自费的游客，请在景区附近自由活动或休息，等待参加自费团友游览结束后一起返回酒店。  购物安排  京津段：天津麻花非传统购物费（如需购买请索取小票）华东段：苏和盛珍珠博物馆，丝绸博物馆。（非传统购物店，如需购买请索取小票）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 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孙平瑞</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2026/4/12 11:56:17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