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金桥-李忠贤</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李忠贤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13987738496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缪志兵</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18987112632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BH-CGT20260529C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5-29春秋-盛世京华：北京天津华东双飞单卧10日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2026-06-07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19(19大)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2026-05-29 9C8730 昆明→扬州 16:05-19:05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2026-06-07 9C6951 石家庄→昆明 10:40-13:5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1、侯玉平</w:t>
            </w:r>
          </w:p>
        </w:tc>
        <w:tc>
          <w:tcPr>
            <w:tcW w:w="2310" w:type="dxa"/>
            <w:vAlign w:val="center"/>
            <w:gridSpan w:val="2"/>
          </w:tcPr>
          <w:p>
            <w:pPr/>
            <w:r>
              <w:rPr>
                <w:lang w:val="zh-CN"/>
                <w:rFonts w:ascii="Times New Roman" w:hAnsi="Times New Roman" w:cs="Times New Roman"/>
                <w:sz w:val="20"/>
                <w:szCs w:val="20"/>
                <w:color w:val="000000"/>
              </w:rPr>
              <w:t>532422197502182121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2、周玉芬</w:t>
            </w:r>
          </w:p>
        </w:tc>
        <w:tc>
          <w:tcPr>
            <w:tcW w:w="2310" w:type="dxa"/>
            <w:vAlign w:val="center"/>
            <w:gridSpan w:val="2"/>
          </w:tcPr>
          <w:p>
            <w:pPr/>
            <w:r>
              <w:rPr>
                <w:lang w:val="zh-CN"/>
                <w:rFonts w:ascii="Times New Roman" w:hAnsi="Times New Roman" w:cs="Times New Roman"/>
                <w:sz w:val="20"/>
                <w:szCs w:val="20"/>
                <w:color w:val="000000"/>
              </w:rPr>
              <w:t>532329195508202322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3、胡琴</w:t>
            </w:r>
          </w:p>
        </w:tc>
        <w:tc>
          <w:tcPr>
            <w:tcW w:w="2310" w:type="dxa"/>
            <w:vAlign w:val="center"/>
            <w:gridSpan w:val="2"/>
          </w:tcPr>
          <w:p>
            <w:pPr/>
            <w:r>
              <w:rPr>
                <w:lang w:val="zh-CN"/>
                <w:rFonts w:ascii="Times New Roman" w:hAnsi="Times New Roman" w:cs="Times New Roman"/>
                <w:sz w:val="20"/>
                <w:szCs w:val="20"/>
                <w:color w:val="000000"/>
              </w:rPr>
              <w:t>532329197312012323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4、李粉丽</w:t>
            </w:r>
          </w:p>
        </w:tc>
        <w:tc>
          <w:tcPr>
            <w:tcW w:w="2310" w:type="dxa"/>
            <w:vAlign w:val="center"/>
            <w:gridSpan w:val="2"/>
          </w:tcPr>
          <w:p>
            <w:pPr/>
            <w:r>
              <w:rPr>
                <w:lang w:val="zh-CN"/>
                <w:rFonts w:ascii="Times New Roman" w:hAnsi="Times New Roman" w:cs="Times New Roman"/>
                <w:sz w:val="20"/>
                <w:szCs w:val="20"/>
                <w:color w:val="000000"/>
              </w:rPr>
              <w:t>532422197502132124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5、杨周明</w:t>
            </w:r>
          </w:p>
        </w:tc>
        <w:tc>
          <w:tcPr>
            <w:tcW w:w="2310" w:type="dxa"/>
            <w:vAlign w:val="center"/>
            <w:gridSpan w:val="2"/>
          </w:tcPr>
          <w:p>
            <w:pPr/>
            <w:r>
              <w:rPr>
                <w:lang w:val="zh-CN"/>
                <w:rFonts w:ascii="Times New Roman" w:hAnsi="Times New Roman" w:cs="Times New Roman"/>
                <w:sz w:val="20"/>
                <w:szCs w:val="20"/>
                <w:color w:val="000000"/>
              </w:rPr>
              <w:t>53242219721217211X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6、李老芬</w:t>
            </w:r>
          </w:p>
        </w:tc>
        <w:tc>
          <w:tcPr>
            <w:tcW w:w="2310" w:type="dxa"/>
            <w:vAlign w:val="center"/>
            <w:gridSpan w:val="2"/>
          </w:tcPr>
          <w:p>
            <w:pPr/>
            <w:r>
              <w:rPr>
                <w:lang w:val="zh-CN"/>
                <w:rFonts w:ascii="Times New Roman" w:hAnsi="Times New Roman" w:cs="Times New Roman"/>
                <w:sz w:val="20"/>
                <w:szCs w:val="20"/>
                <w:color w:val="000000"/>
              </w:rPr>
              <w:t>532422197112032128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7、洪润香</w:t>
            </w:r>
          </w:p>
        </w:tc>
        <w:tc>
          <w:tcPr>
            <w:tcW w:w="2310" w:type="dxa"/>
            <w:vAlign w:val="center"/>
            <w:gridSpan w:val="2"/>
          </w:tcPr>
          <w:p>
            <w:pPr/>
            <w:r>
              <w:rPr>
                <w:lang w:val="zh-CN"/>
                <w:rFonts w:ascii="Times New Roman" w:hAnsi="Times New Roman" w:cs="Times New Roman"/>
                <w:sz w:val="20"/>
                <w:szCs w:val="20"/>
                <w:color w:val="000000"/>
              </w:rPr>
              <w:t>532422196907082140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8、李士有</w:t>
            </w:r>
          </w:p>
        </w:tc>
        <w:tc>
          <w:tcPr>
            <w:tcW w:w="2310" w:type="dxa"/>
            <w:vAlign w:val="center"/>
            <w:gridSpan w:val="2"/>
          </w:tcPr>
          <w:p>
            <w:pPr/>
            <w:r>
              <w:rPr>
                <w:lang w:val="zh-CN"/>
                <w:rFonts w:ascii="Times New Roman" w:hAnsi="Times New Roman" w:cs="Times New Roman"/>
                <w:sz w:val="20"/>
                <w:szCs w:val="20"/>
                <w:color w:val="000000"/>
              </w:rPr>
              <w:t>532422196907192112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9、张红丽</w:t>
            </w:r>
          </w:p>
        </w:tc>
        <w:tc>
          <w:tcPr>
            <w:tcW w:w="2310" w:type="dxa"/>
            <w:vAlign w:val="center"/>
            <w:gridSpan w:val="2"/>
          </w:tcPr>
          <w:p>
            <w:pPr/>
            <w:r>
              <w:rPr>
                <w:lang w:val="zh-CN"/>
                <w:rFonts w:ascii="Times New Roman" w:hAnsi="Times New Roman" w:cs="Times New Roman"/>
                <w:sz w:val="20"/>
                <w:szCs w:val="20"/>
                <w:color w:val="000000"/>
              </w:rPr>
              <w:t>532422197112042123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10、李焕萍</w:t>
            </w:r>
          </w:p>
        </w:tc>
        <w:tc>
          <w:tcPr>
            <w:tcW w:w="2310" w:type="dxa"/>
            <w:vAlign w:val="center"/>
            <w:gridSpan w:val="2"/>
          </w:tcPr>
          <w:p>
            <w:pPr/>
            <w:r>
              <w:rPr>
                <w:lang w:val="zh-CN"/>
                <w:rFonts w:ascii="Times New Roman" w:hAnsi="Times New Roman" w:cs="Times New Roman"/>
                <w:sz w:val="20"/>
                <w:szCs w:val="20"/>
                <w:color w:val="000000"/>
              </w:rPr>
              <w:t>532422197110082121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11、张应聪</w:t>
            </w:r>
          </w:p>
        </w:tc>
        <w:tc>
          <w:tcPr>
            <w:tcW w:w="2310" w:type="dxa"/>
            <w:vAlign w:val="center"/>
            <w:gridSpan w:val="2"/>
          </w:tcPr>
          <w:p>
            <w:pPr/>
            <w:r>
              <w:rPr>
                <w:lang w:val="zh-CN"/>
                <w:rFonts w:ascii="Times New Roman" w:hAnsi="Times New Roman" w:cs="Times New Roman"/>
                <w:sz w:val="20"/>
                <w:szCs w:val="20"/>
                <w:color w:val="000000"/>
              </w:rPr>
              <w:t>532422196907022156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12、黄吉芬</w:t>
            </w:r>
          </w:p>
        </w:tc>
        <w:tc>
          <w:tcPr>
            <w:tcW w:w="2310" w:type="dxa"/>
            <w:vAlign w:val="center"/>
            <w:gridSpan w:val="2"/>
          </w:tcPr>
          <w:p>
            <w:pPr/>
            <w:r>
              <w:rPr>
                <w:lang w:val="zh-CN"/>
                <w:rFonts w:ascii="Times New Roman" w:hAnsi="Times New Roman" w:cs="Times New Roman"/>
                <w:sz w:val="20"/>
                <w:szCs w:val="20"/>
                <w:color w:val="000000"/>
              </w:rPr>
              <w:t>532422197208282121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13、赵桂玉</w:t>
            </w:r>
          </w:p>
        </w:tc>
        <w:tc>
          <w:tcPr>
            <w:tcW w:w="2310" w:type="dxa"/>
            <w:vAlign w:val="center"/>
            <w:gridSpan w:val="2"/>
          </w:tcPr>
          <w:p>
            <w:pPr/>
            <w:r>
              <w:rPr>
                <w:lang w:val="zh-CN"/>
                <w:rFonts w:ascii="Times New Roman" w:hAnsi="Times New Roman" w:cs="Times New Roman"/>
                <w:sz w:val="20"/>
                <w:szCs w:val="20"/>
                <w:color w:val="000000"/>
              </w:rPr>
              <w:t>532422196401012161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14、封顺平</w:t>
            </w:r>
          </w:p>
        </w:tc>
        <w:tc>
          <w:tcPr>
            <w:tcW w:w="2310" w:type="dxa"/>
            <w:vAlign w:val="center"/>
            <w:gridSpan w:val="2"/>
          </w:tcPr>
          <w:p>
            <w:pPr/>
            <w:r>
              <w:rPr>
                <w:lang w:val="zh-CN"/>
                <w:rFonts w:ascii="Times New Roman" w:hAnsi="Times New Roman" w:cs="Times New Roman"/>
                <w:sz w:val="20"/>
                <w:szCs w:val="20"/>
                <w:color w:val="000000"/>
              </w:rPr>
              <w:t>532422196310152126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15、宋如顺</w:t>
            </w:r>
          </w:p>
        </w:tc>
        <w:tc>
          <w:tcPr>
            <w:tcW w:w="2310" w:type="dxa"/>
            <w:vAlign w:val="center"/>
            <w:gridSpan w:val="2"/>
          </w:tcPr>
          <w:p>
            <w:pPr/>
            <w:r>
              <w:rPr>
                <w:lang w:val="zh-CN"/>
                <w:rFonts w:ascii="Times New Roman" w:hAnsi="Times New Roman" w:cs="Times New Roman"/>
                <w:sz w:val="20"/>
                <w:szCs w:val="20"/>
                <w:color w:val="000000"/>
              </w:rPr>
              <w:t>532422196810232149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16、李惠芬</w:t>
            </w:r>
          </w:p>
        </w:tc>
        <w:tc>
          <w:tcPr>
            <w:tcW w:w="2310" w:type="dxa"/>
            <w:vAlign w:val="center"/>
            <w:gridSpan w:val="2"/>
          </w:tcPr>
          <w:p>
            <w:pPr/>
            <w:r>
              <w:rPr>
                <w:lang w:val="zh-CN"/>
                <w:rFonts w:ascii="Times New Roman" w:hAnsi="Times New Roman" w:cs="Times New Roman"/>
                <w:sz w:val="20"/>
                <w:szCs w:val="20"/>
                <w:color w:val="000000"/>
              </w:rPr>
              <w:t>532425196812191669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17、师素芬</w:t>
            </w:r>
          </w:p>
        </w:tc>
        <w:tc>
          <w:tcPr>
            <w:tcW w:w="2310" w:type="dxa"/>
            <w:vAlign w:val="center"/>
            <w:gridSpan w:val="2"/>
          </w:tcPr>
          <w:p>
            <w:pPr/>
            <w:r>
              <w:rPr>
                <w:lang w:val="zh-CN"/>
                <w:rFonts w:ascii="Times New Roman" w:hAnsi="Times New Roman" w:cs="Times New Roman"/>
                <w:sz w:val="20"/>
                <w:szCs w:val="20"/>
                <w:color w:val="000000"/>
              </w:rPr>
              <w:t>532422197302282128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18、张贵忠</w:t>
            </w:r>
          </w:p>
        </w:tc>
        <w:tc>
          <w:tcPr>
            <w:tcW w:w="2310" w:type="dxa"/>
            <w:vAlign w:val="center"/>
            <w:gridSpan w:val="2"/>
          </w:tcPr>
          <w:p>
            <w:pPr/>
            <w:r>
              <w:rPr>
                <w:lang w:val="zh-CN"/>
                <w:rFonts w:ascii="Times New Roman" w:hAnsi="Times New Roman" w:cs="Times New Roman"/>
                <w:sz w:val="20"/>
                <w:szCs w:val="20"/>
                <w:color w:val="000000"/>
              </w:rPr>
              <w:t>532422196302282115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19、李汝焕</w:t>
            </w:r>
          </w:p>
        </w:tc>
        <w:tc>
          <w:tcPr>
            <w:tcW w:w="2310" w:type="dxa"/>
            <w:vAlign w:val="center"/>
            <w:gridSpan w:val="2"/>
          </w:tcPr>
          <w:p>
            <w:pPr/>
            <w:r>
              <w:rPr>
                <w:lang w:val="zh-CN"/>
                <w:rFonts w:ascii="Times New Roman" w:hAnsi="Times New Roman" w:cs="Times New Roman"/>
                <w:sz w:val="20"/>
                <w:szCs w:val="20"/>
                <w:color w:val="000000"/>
              </w:rPr>
              <w:t>532422196512162146</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19</w:t>
            </w:r>
          </w:p>
        </w:tc>
        <w:tc>
          <w:tcPr>
            <w:tcW w:w="2310" w:type="dxa"/>
          </w:tcPr>
          <w:p>
            <w:pPr/>
            <w:r>
              <w:rPr>
                <w:lang w:val="zh-CN"/>
                <w:rFonts w:ascii="Times New Roman" w:hAnsi="Times New Roman" w:cs="Times New Roman"/>
                <w:sz w:val="20"/>
                <w:szCs w:val="20"/>
                <w:color w:val="000000"/>
              </w:rPr>
              <w:t>3060.00</w:t>
            </w:r>
          </w:p>
        </w:tc>
        <w:tc>
          <w:tcPr>
            <w:tcW w:w="2310" w:type="dxa"/>
          </w:tcPr>
          <w:p>
            <w:pPr/>
            <w:r>
              <w:rPr>
                <w:lang w:val="zh-CN"/>
                <w:rFonts w:ascii="Times New Roman" w:hAnsi="Times New Roman" w:cs="Times New Roman"/>
                <w:sz w:val="20"/>
                <w:szCs w:val="20"/>
                <w:color w:val="000000"/>
              </w:rPr>
              <w:t>58140.00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总金额：伍万捌仟壹佰肆拾元整</w:t>
            </w:r>
          </w:p>
        </w:tc>
        <w:tc>
          <w:tcPr>
            <w:tcW w:w="2310" w:type="dxa"/>
            <w:textDirection w:val="right"/>
            <w:gridSpan w:val="3"/>
          </w:tcPr>
          <w:p>
            <w:pPr/>
            <w:r>
              <w:rPr>
                <w:lang w:val="zh-CN"/>
                <w:rFonts w:ascii="Times New Roman" w:hAnsi="Times New Roman" w:cs="Times New Roman"/>
                <w:b/>
                <w:color w:val="FF0000"/>
              </w:rPr>
              <w:t>58140.00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昆明→扬州(飞机)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昆明集合出发，飞机前往扬州。我社师傅导游接站后，入住酒店；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早餐：不含；午餐：不含；晚餐：不含；住宿：扬州</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无锡三国城→耦园→周庄→七里山塘街(巴士)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车赴无锡游览影视基地【三国城】(乘仿古战船畅游太湖)；为拍摄《三国演义》而兴建的大型影视文化景区，“刘备招亲”、“火烧赤壁”、“横槊赋诗”、“草船借箭”、“借东风”、“诸葛吊孝”、“舌战群儒”等十多集的重场戏均在此拍摄。游览世界文化遗产、苏州名园【耦园】，耦园原名涉园，位于江苏省苏州市仓街小新桥巷，为清顺治年间保宁知府陆锦所筑，取陶渊明《归去来兮辞》中的"园日涉以成趣"之意，黄石假山是耦园的特色。耦园为全国重点文物保护单位，已被联合国教科文组织列入世界文化遗产。此园因在住宅东西两侧各有一园，故名耦园。南北驳岸码头是耦园特色之一，尽显姑苏"人家尽枕河"的特色。车赴集中国水乡之美的中国第一水乡【周庄】（含景区往返交通车），典型的江南水乡风貌，有独特的人文景观，是中国水乡文化和吴地汉文化的瑰宝。旅美画家陈逸飞的油画《故乡的回忆》中而闻名的明代建筑--双桥，沿着细细的流水，信步走过一座座水乡人习以为常的小桥，领略古镇的古香古韵。其中由一座石拱桥【世德桥】和一座石梁桥【永安桥】组成、俗称钥匙桥的双桥更是周庄的名片，还有桥身四角有桥楼的富安桥，是中国历史文化名镇。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早餐：不含；午餐：不含；晚餐：不含；住宿：苏州</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苏和盛珍珠博物馆→中华艺术宫→外滩→南京路→城隍庙(巴士)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丝绸博物馆→乌镇东栅→船游杭州西湖(巴士)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物馆】约60分钟，是一家集丝绸文化为一体，大型综合性博物馆（备注：此景点内有购物场所，如需要请谨慎购买并索要发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游览【西湖景区】，（特别安排船游西湖）漫步苏堤，游览曲院风荷,西湖十景之一，著名赏荷胜地等，苏堤春晓（西湖十景之一，移步换景，近距离颀赏西湖，如需乘坐游船，费用自理。车游钱塘江风光，观六和塔外景，品尝杭州风味茶餐【龙井御茶宴】，游览完毕后入住酒店。【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秦淮河夫子庙乌衣巷→中山陵→雨花台→北京火车</w:t>
            </w:r>
            <w:r>
              <w:rPr>
                <w:lang w:val="zh-CN"/>
                <w:rFonts w:ascii="Times New Roman" w:hAnsi="Times New Roman" w:cs="Times New Roman"/>
                <w:b/>
                <w:color w:val="000000"/>
              </w:rPr>
              <w:tab/>
            </w:r>
            <w:r>
              <w:rPr>
                <w:lang w:val="zh-CN"/>
                <w:rFonts w:ascii="Times New Roman" w:hAnsi="Times New Roman" w:cs="Times New Roman"/>
                <w:b/>
                <w:color w:val="000000"/>
              </w:rPr>
              <w:t xml:space="preserve"> (火车)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南京，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天安门广场→故宫→军事博物馆或首博→什刹海→前门大街(巴士)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瞻仰【人民英雄纪念碑】外观【人民大会堂外观】【国家大剧院外观】。游览全世界最大的宫殿建筑群【故宫博物院】（约2小时）（门票实行预约制，如预约不上，退还门票或者替换成其他可替换的景点；特别赠送：故宫摆渡车+故宫耳麦）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前往【中国人民革命军事博物馆】或【首都博物馆】或【中国人民抗日战争纪念馆】（门票实行预约制，如预约不上，则安排【首都博物馆】或【中国人民抗日战争纪念馆】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早餐：；午餐：；晚餐：；住宿：北京</w:t>
            </w:r>
          </w:p>
        </w:tc>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升旗仪式→八达岭长城→外观奥林匹克公园(巴士)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随后参观【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天坛公园（通票）→颐和园→圆明园(巴士)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观游览明清两代北京最大的祭祀性场所【天坛公园】(通票）（约1小时）：进入天坛感受古木参天，这里号称北京城市中的“天然氧吧”，是世界文化遗产，是世界上最大的皇家祭祀建筑群；游览世界上最美丽的皇家园林【颐和园】，是保存最完整的一座皇行宫御苑，被誉为“皇家园林博物馆”有山有水有画，十里青山行画里，双飞白鸟似江南的园林风光。前往清华/北大外景并拍照。游览【圆明园遗址公园】（首道）位于北京市海淀区中部偏东，西北去西直门二十华里。其东南角为清华大学西门。圆明园遗址公园为著名的爱国主义教育基地。圆明园遗址公园建成于1988年，仅存山形水系、园林格局和建筑基址，假山叠石、雕刻残迹仍然可见。在“西洋楼”旧址建有园史展览馆，供人瞻仰凭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周邓纪念馆→古文化街→食品街→意大利风情街(巴士)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早餐：含；午餐：含；晚餐：含；住宿：石家庄</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石家庄→昆明(飞机)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早餐后，根据航班时间返回昆明，结束愉快之旅！！！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2、交通服务：昆明-扬州/石家庄-昆明飞机经济舱含税机票，华东到北京火车硬卧，不指定车次，不指定铺位；当地空调旅游巴士。3、餐饮标准：行程所列9早16正，早餐酒店含（部分打包早），正餐餐标20-70元/人/餐（八菜一汤，十人一桌）早餐说明：行程所列早餐为酒店赠送，不吃不退，华东段酒店含早为主，北京为简单打包热早餐（升旗仪式除外），如果您对餐饮有较高需求请谨慎选择此产品。特色餐饮：京津段：安排文旅演艺餐【宫廷盛宴】70元/人：品便宜坊烤鸭+赏宫廷演艺+惊喜大互动+换装打卡；北京饺子宴（25），北京自助餐（30）；品尝天津狗不理包子（25）；其他餐标20元/人华东段：无锡酱排骨（25），南京盐水鸭（20），龙井御茶宴（30），太湖河鲜宴（20），水乡特色宴（25），其他餐标20元/人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推荐自费：京津段：1、老北京堂会+黄包车200元/人；2、奥运杂技演出220元/人；3、天津极地海洋馆240元/人；4、慈禧水道150元/人；华东段：1、夜游上海登高套餐320元/人2、宋城千古情园区+表演320元/人3、苏州游船150元/人凡是参加自费项目的团员所有的优惠证件不予以使用（如老年证、学生证、教师证等）。不参加自费的游客，请在景区附近自由活动或休息，等待参加自费团友游览结束后一起返回酒店。京津段：天津麻花非传统购物费（如需购买请索取小票）华东段：苏和盛珍珠博物馆，丝绸博物馆。（非传统购物店，如需购买请索取小票）车销不算购物店</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旅游旺季，实行交通管制，小车，大巴车均禁止进入，客人需要换乘景区公交车，交通方式：①普通公交车，市民游客混座的单趟5元/人，往返10元/人；②一站式接驳车：单程：20元/人；③包车服务：500元/趟，最大限乘50个人，具体当天以景区安排为准，敬请谅解。。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李忠贤</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缪志兵</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22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2026/5/22 19:02:01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