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云南全季旅行社有限公司团队/散客确认件</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走啦李如会</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李如会</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13888977646</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谭超群</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15912187764</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BH-CGT20260615A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6-15老特惠北华-北京天津华东双飞单卧10日</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2026-06-15</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2026-06-24</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16(14大2小)</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2026-06-15 9C6952 昆明→石家庄 19:20-22:20</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2026-06-24 9C8729 扬州→昆明 11:50-15:0</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1、董加美</w:t>
            </w:r>
          </w:p>
        </w:tc>
        <w:tc>
          <w:tcPr>
            <w:tcW w:w="2310" w:type="dxa"/>
            <w:vAlign w:val="center"/>
            <w:gridSpan w:val="2"/>
          </w:tcPr>
          <w:p>
            <w:pPr/>
            <w:r>
              <w:rPr>
                <w:lang w:val="zh-CN"/>
                <w:rFonts w:ascii="Times New Roman" w:hAnsi="Times New Roman" w:cs="Times New Roman"/>
                <w:sz w:val="20"/>
                <w:szCs w:val="20"/>
                <w:color w:val="000000"/>
              </w:rPr>
              <w:t>530128196608263961</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2、赵双花</w:t>
            </w:r>
          </w:p>
        </w:tc>
        <w:tc>
          <w:tcPr>
            <w:tcW w:w="2310" w:type="dxa"/>
            <w:vAlign w:val="center"/>
            <w:gridSpan w:val="2"/>
          </w:tcPr>
          <w:p>
            <w:pPr/>
            <w:r>
              <w:rPr>
                <w:lang w:val="zh-CN"/>
                <w:rFonts w:ascii="Times New Roman" w:hAnsi="Times New Roman" w:cs="Times New Roman"/>
                <w:sz w:val="20"/>
                <w:szCs w:val="20"/>
                <w:color w:val="000000"/>
              </w:rPr>
              <w:t>530128195910285120</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3、李朝华</w:t>
            </w:r>
          </w:p>
        </w:tc>
        <w:tc>
          <w:tcPr>
            <w:tcW w:w="2310" w:type="dxa"/>
            <w:vAlign w:val="center"/>
            <w:gridSpan w:val="2"/>
          </w:tcPr>
          <w:p>
            <w:pPr/>
            <w:r>
              <w:rPr>
                <w:lang w:val="zh-CN"/>
                <w:rFonts w:ascii="Times New Roman" w:hAnsi="Times New Roman" w:cs="Times New Roman"/>
                <w:sz w:val="20"/>
                <w:szCs w:val="20"/>
                <w:color w:val="000000"/>
              </w:rPr>
              <w:t>53012819640402001X</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4、康桂林</w:t>
            </w:r>
          </w:p>
        </w:tc>
        <w:tc>
          <w:tcPr>
            <w:tcW w:w="2310" w:type="dxa"/>
            <w:vAlign w:val="center"/>
            <w:gridSpan w:val="2"/>
          </w:tcPr>
          <w:p>
            <w:pPr/>
            <w:r>
              <w:rPr>
                <w:lang w:val="zh-CN"/>
                <w:rFonts w:ascii="Times New Roman" w:hAnsi="Times New Roman" w:cs="Times New Roman"/>
                <w:sz w:val="20"/>
                <w:szCs w:val="20"/>
                <w:color w:val="000000"/>
              </w:rPr>
              <w:t>530128195403292422</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5、苏再全</w:t>
            </w:r>
          </w:p>
        </w:tc>
        <w:tc>
          <w:tcPr>
            <w:tcW w:w="2310" w:type="dxa"/>
            <w:vAlign w:val="center"/>
            <w:gridSpan w:val="2"/>
          </w:tcPr>
          <w:p>
            <w:pPr/>
            <w:r>
              <w:rPr>
                <w:lang w:val="zh-CN"/>
                <w:rFonts w:ascii="Times New Roman" w:hAnsi="Times New Roman" w:cs="Times New Roman"/>
                <w:sz w:val="20"/>
                <w:szCs w:val="20"/>
                <w:color w:val="000000"/>
              </w:rPr>
              <w:t>530128196812132459</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6、张国美</w:t>
            </w:r>
          </w:p>
        </w:tc>
        <w:tc>
          <w:tcPr>
            <w:tcW w:w="2310" w:type="dxa"/>
            <w:vAlign w:val="center"/>
            <w:gridSpan w:val="2"/>
          </w:tcPr>
          <w:p>
            <w:pPr/>
            <w:r>
              <w:rPr>
                <w:lang w:val="zh-CN"/>
                <w:rFonts w:ascii="Times New Roman" w:hAnsi="Times New Roman" w:cs="Times New Roman"/>
                <w:sz w:val="20"/>
                <w:szCs w:val="20"/>
                <w:color w:val="000000"/>
              </w:rPr>
              <w:t>530128197011242441</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7、苏知坤</w:t>
            </w:r>
          </w:p>
        </w:tc>
        <w:tc>
          <w:tcPr>
            <w:tcW w:w="2310" w:type="dxa"/>
            <w:vAlign w:val="center"/>
            <w:gridSpan w:val="2"/>
          </w:tcPr>
          <w:p>
            <w:pPr/>
            <w:r>
              <w:rPr>
                <w:lang w:val="zh-CN"/>
                <w:rFonts w:ascii="Times New Roman" w:hAnsi="Times New Roman" w:cs="Times New Roman"/>
                <w:sz w:val="20"/>
                <w:szCs w:val="20"/>
                <w:color w:val="000000"/>
              </w:rPr>
              <w:t>530128199207152412</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8、周滔</w:t>
            </w:r>
          </w:p>
        </w:tc>
        <w:tc>
          <w:tcPr>
            <w:tcW w:w="2310" w:type="dxa"/>
            <w:vAlign w:val="center"/>
            <w:gridSpan w:val="2"/>
          </w:tcPr>
          <w:p>
            <w:pPr/>
            <w:r>
              <w:rPr>
                <w:lang w:val="zh-CN"/>
                <w:rFonts w:ascii="Times New Roman" w:hAnsi="Times New Roman" w:cs="Times New Roman"/>
                <w:sz w:val="20"/>
                <w:szCs w:val="20"/>
                <w:color w:val="000000"/>
              </w:rPr>
              <w:t>530381199510091520</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9、苏昌文</w:t>
            </w:r>
          </w:p>
        </w:tc>
        <w:tc>
          <w:tcPr>
            <w:tcW w:w="2310" w:type="dxa"/>
            <w:vAlign w:val="center"/>
            <w:gridSpan w:val="2"/>
          </w:tcPr>
          <w:p>
            <w:pPr/>
            <w:r>
              <w:rPr>
                <w:lang w:val="zh-CN"/>
                <w:rFonts w:ascii="Times New Roman" w:hAnsi="Times New Roman" w:cs="Times New Roman"/>
                <w:sz w:val="20"/>
                <w:szCs w:val="20"/>
                <w:color w:val="000000"/>
              </w:rPr>
              <w:t>53012820161116241X</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10、苏昌红</w:t>
            </w:r>
          </w:p>
        </w:tc>
        <w:tc>
          <w:tcPr>
            <w:tcW w:w="2310" w:type="dxa"/>
            <w:vAlign w:val="center"/>
            <w:gridSpan w:val="2"/>
          </w:tcPr>
          <w:p>
            <w:pPr/>
            <w:r>
              <w:rPr>
                <w:lang w:val="zh-CN"/>
                <w:rFonts w:ascii="Times New Roman" w:hAnsi="Times New Roman" w:cs="Times New Roman"/>
                <w:sz w:val="20"/>
                <w:szCs w:val="20"/>
                <w:color w:val="000000"/>
              </w:rPr>
              <w:t>530128201410192452</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11、李苏芬</w:t>
            </w:r>
          </w:p>
        </w:tc>
        <w:tc>
          <w:tcPr>
            <w:tcW w:w="2310" w:type="dxa"/>
            <w:vAlign w:val="center"/>
            <w:gridSpan w:val="2"/>
          </w:tcPr>
          <w:p>
            <w:pPr/>
            <w:r>
              <w:rPr>
                <w:lang w:val="zh-CN"/>
                <w:rFonts w:ascii="Times New Roman" w:hAnsi="Times New Roman" w:cs="Times New Roman"/>
                <w:sz w:val="20"/>
                <w:szCs w:val="20"/>
                <w:color w:val="000000"/>
              </w:rPr>
              <w:t>530381197709281541</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12、苏事存</w:t>
            </w:r>
          </w:p>
        </w:tc>
        <w:tc>
          <w:tcPr>
            <w:tcW w:w="2310" w:type="dxa"/>
            <w:vAlign w:val="center"/>
            <w:gridSpan w:val="2"/>
          </w:tcPr>
          <w:p>
            <w:pPr/>
            <w:r>
              <w:rPr>
                <w:lang w:val="zh-CN"/>
                <w:rFonts w:ascii="Times New Roman" w:hAnsi="Times New Roman" w:cs="Times New Roman"/>
                <w:sz w:val="20"/>
                <w:szCs w:val="20"/>
                <w:color w:val="000000"/>
              </w:rPr>
              <w:t>530128197105133027</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13、赵家怀</w:t>
            </w:r>
          </w:p>
        </w:tc>
        <w:tc>
          <w:tcPr>
            <w:tcW w:w="2310" w:type="dxa"/>
            <w:vAlign w:val="center"/>
            <w:gridSpan w:val="2"/>
          </w:tcPr>
          <w:p>
            <w:pPr/>
            <w:r>
              <w:rPr>
                <w:lang w:val="zh-CN"/>
                <w:rFonts w:ascii="Times New Roman" w:hAnsi="Times New Roman" w:cs="Times New Roman"/>
                <w:sz w:val="20"/>
                <w:szCs w:val="20"/>
                <w:color w:val="000000"/>
              </w:rPr>
              <w:t>530128196302252442</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14、汪发永</w:t>
            </w:r>
          </w:p>
        </w:tc>
        <w:tc>
          <w:tcPr>
            <w:tcW w:w="2310" w:type="dxa"/>
            <w:vAlign w:val="center"/>
            <w:gridSpan w:val="2"/>
          </w:tcPr>
          <w:p>
            <w:pPr/>
            <w:r>
              <w:rPr>
                <w:lang w:val="zh-CN"/>
                <w:rFonts w:ascii="Times New Roman" w:hAnsi="Times New Roman" w:cs="Times New Roman"/>
                <w:sz w:val="20"/>
                <w:szCs w:val="20"/>
                <w:color w:val="000000"/>
              </w:rPr>
              <w:t>530128196808040615</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15、杨向群</w:t>
            </w:r>
          </w:p>
        </w:tc>
        <w:tc>
          <w:tcPr>
            <w:tcW w:w="2310" w:type="dxa"/>
            <w:vAlign w:val="center"/>
            <w:gridSpan w:val="2"/>
          </w:tcPr>
          <w:p>
            <w:pPr/>
            <w:r>
              <w:rPr>
                <w:lang w:val="zh-CN"/>
                <w:rFonts w:ascii="Times New Roman" w:hAnsi="Times New Roman" w:cs="Times New Roman"/>
                <w:sz w:val="20"/>
                <w:szCs w:val="20"/>
                <w:color w:val="000000"/>
              </w:rPr>
              <w:t>530128196408120640</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16、李朝宗</w:t>
            </w:r>
          </w:p>
        </w:tc>
        <w:tc>
          <w:tcPr>
            <w:tcW w:w="2310" w:type="dxa"/>
            <w:vAlign w:val="center"/>
            <w:gridSpan w:val="2"/>
          </w:tcPr>
          <w:p>
            <w:pPr/>
            <w:r>
              <w:rPr>
                <w:lang w:val="zh-CN"/>
                <w:rFonts w:ascii="Times New Roman" w:hAnsi="Times New Roman" w:cs="Times New Roman"/>
                <w:sz w:val="20"/>
                <w:szCs w:val="20"/>
                <w:color w:val="000000"/>
              </w:rPr>
              <w:t>530128195910230613</w:t>
            </w: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14</w:t>
            </w:r>
          </w:p>
        </w:tc>
        <w:tc>
          <w:tcPr>
            <w:tcW w:w="2310" w:type="dxa"/>
          </w:tcPr>
          <w:p>
            <w:pPr/>
            <w:r>
              <w:rPr>
                <w:lang w:val="zh-CN"/>
                <w:rFonts w:ascii="Times New Roman" w:hAnsi="Times New Roman" w:cs="Times New Roman"/>
                <w:sz w:val="20"/>
                <w:szCs w:val="20"/>
                <w:color w:val="000000"/>
              </w:rPr>
              <w:t>2400.00</w:t>
            </w:r>
          </w:p>
        </w:tc>
        <w:tc>
          <w:tcPr>
            <w:tcW w:w="2310" w:type="dxa"/>
          </w:tcPr>
          <w:p>
            <w:pPr/>
            <w:r>
              <w:rPr>
                <w:lang w:val="zh-CN"/>
                <w:rFonts w:ascii="Times New Roman" w:hAnsi="Times New Roman" w:cs="Times New Roman"/>
                <w:sz w:val="20"/>
                <w:szCs w:val="20"/>
                <w:color w:val="000000"/>
              </w:rPr>
              <w:t>33600.00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2</w:t>
            </w:r>
          </w:p>
        </w:tc>
        <w:tc>
          <w:tcPr>
            <w:tcW w:w="2310" w:type="dxa"/>
            <w:gridSpan w:val="2"/>
          </w:tcPr>
          <w:p>
            <w:pPr/>
            <w:r>
              <w:rPr>
                <w:lang w:val="zh-CN"/>
                <w:rFonts w:ascii="Times New Roman" w:hAnsi="Times New Roman" w:cs="Times New Roman"/>
                <w:sz w:val="20"/>
                <w:szCs w:val="20"/>
                <w:color w:val="000000"/>
              </w:rPr>
              <w:t>增加费用</w:t>
            </w:r>
          </w:p>
        </w:tc>
        <w:tc>
          <w:tcPr>
            <w:tcW w:w="2310" w:type="dxa"/>
          </w:tcPr>
          <w:p>
            <w:pPr/>
            <w:r>
              <w:rPr>
                <w:lang w:val="zh-CN"/>
                <w:rFonts w:ascii="Times New Roman" w:hAnsi="Times New Roman" w:cs="Times New Roman"/>
                <w:sz w:val="20"/>
                <w:szCs w:val="20"/>
                <w:color w:val="000000"/>
              </w:rPr>
              <w:t>1</w:t>
            </w:r>
          </w:p>
        </w:tc>
        <w:tc>
          <w:tcPr>
            <w:tcW w:w="2310" w:type="dxa"/>
          </w:tcPr>
          <w:p>
            <w:pPr/>
            <w:r>
              <w:rPr>
                <w:lang w:val="zh-CN"/>
                <w:rFonts w:ascii="Times New Roman" w:hAnsi="Times New Roman" w:cs="Times New Roman"/>
                <w:sz w:val="20"/>
                <w:szCs w:val="20"/>
                <w:color w:val="000000"/>
              </w:rPr>
              <w:t>200.00</w:t>
            </w:r>
          </w:p>
        </w:tc>
        <w:tc>
          <w:tcPr>
            <w:tcW w:w="2310" w:type="dxa"/>
          </w:tcPr>
          <w:p>
            <w:pPr/>
            <w:r>
              <w:rPr>
                <w:lang w:val="zh-CN"/>
                <w:rFonts w:ascii="Times New Roman" w:hAnsi="Times New Roman" w:cs="Times New Roman"/>
                <w:sz w:val="20"/>
                <w:szCs w:val="20"/>
                <w:color w:val="000000"/>
              </w:rPr>
              <w:t>200.00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3</w:t>
            </w:r>
          </w:p>
        </w:tc>
        <w:tc>
          <w:tcPr>
            <w:tcW w:w="2310" w:type="dxa"/>
            <w:gridSpan w:val="2"/>
          </w:tcPr>
          <w:p>
            <w:pPr/>
            <w:r>
              <w:rPr>
                <w:lang w:val="zh-CN"/>
                <w:rFonts w:ascii="Times New Roman" w:hAnsi="Times New Roman" w:cs="Times New Roman"/>
                <w:sz w:val="20"/>
                <w:szCs w:val="20"/>
                <w:color w:val="000000"/>
              </w:rPr>
              <w:t>增加费用</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450.00</w:t>
            </w:r>
          </w:p>
        </w:tc>
        <w:tc>
          <w:tcPr>
            <w:tcW w:w="2310" w:type="dxa"/>
          </w:tcPr>
          <w:p>
            <w:pPr/>
            <w:r>
              <w:rPr>
                <w:lang w:val="zh-CN"/>
                <w:rFonts w:ascii="Times New Roman" w:hAnsi="Times New Roman" w:cs="Times New Roman"/>
                <w:sz w:val="20"/>
                <w:szCs w:val="20"/>
                <w:color w:val="000000"/>
              </w:rPr>
              <w:t>900.00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4</w:t>
            </w:r>
          </w:p>
        </w:tc>
        <w:tc>
          <w:tcPr>
            <w:tcW w:w="2310" w:type="dxa"/>
            <w:gridSpan w:val="2"/>
          </w:tcPr>
          <w:p>
            <w:pPr/>
            <w:r>
              <w:rPr>
                <w:lang w:val="zh-CN"/>
                <w:rFonts w:ascii="Times New Roman" w:hAnsi="Times New Roman" w:cs="Times New Roman"/>
                <w:sz w:val="20"/>
                <w:szCs w:val="20"/>
                <w:color w:val="000000"/>
              </w:rPr>
              <w:t>小孩占床</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2100.00</w:t>
            </w:r>
          </w:p>
        </w:tc>
        <w:tc>
          <w:tcPr>
            <w:tcW w:w="2310" w:type="dxa"/>
          </w:tcPr>
          <w:p>
            <w:pPr/>
            <w:r>
              <w:rPr>
                <w:lang w:val="zh-CN"/>
                <w:rFonts w:ascii="Times New Roman" w:hAnsi="Times New Roman" w:cs="Times New Roman"/>
                <w:sz w:val="20"/>
                <w:szCs w:val="20"/>
                <w:color w:val="000000"/>
              </w:rPr>
              <w:t>4200.00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总金额：叁万捌仟玖佰元整</w:t>
            </w:r>
          </w:p>
        </w:tc>
        <w:tc>
          <w:tcPr>
            <w:tcW w:w="2310" w:type="dxa"/>
            <w:textDirection w:val="right"/>
            <w:gridSpan w:val="3"/>
          </w:tcPr>
          <w:p>
            <w:pPr/>
            <w:r>
              <w:rPr>
                <w:lang w:val="zh-CN"/>
                <w:rFonts w:ascii="Times New Roman" w:hAnsi="Times New Roman" w:cs="Times New Roman"/>
                <w:b/>
                <w:color w:val="FF0000"/>
              </w:rPr>
              <w:t>38900.00</w:t>
            </w:r>
          </w:p>
        </w:tc>
      </w:tr>
      <w:tr>
        <w:tc>
          <w:tcPr>
            <w:tcW w:w="2310" w:type="dxa"/>
            <w:gridSpan w:val="8"/>
          </w:tcPr>
          <w:p>
            <w:pP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富滇银行股份有限公司昆明白塔支行</w:t>
            </w:r>
          </w:p>
        </w:tc>
        <w:tc>
          <w:tcPr>
            <w:tcW w:w="2310" w:type="dxa"/>
            <w:gridSpan w:val="2"/>
          </w:tcPr>
          <w:p>
            <w:pPr/>
            <w:r>
              <w:rPr>
                <w:lang w:val="zh-CN"/>
                <w:rFonts w:ascii="Times New Roman" w:hAnsi="Times New Roman" w:cs="Times New Roman"/>
                <w:sz w:val="20"/>
                <w:szCs w:val="20"/>
                <w:color w:val="000000"/>
              </w:rPr>
              <w:t>昆明康辉旅行社有限公司</w:t>
            </w:r>
          </w:p>
        </w:tc>
        <w:tc>
          <w:tcPr>
            <w:tcW w:w="2310" w:type="dxa"/>
            <w:gridSpan w:val="3"/>
          </w:tcPr>
          <w:p>
            <w:pPr/>
            <w:r>
              <w:rPr>
                <w:lang w:val="zh-CN"/>
                <w:rFonts w:ascii="Times New Roman" w:hAnsi="Times New Roman" w:cs="Times New Roman"/>
                <w:sz w:val="20"/>
                <w:szCs w:val="20"/>
                <w:color w:val="000000"/>
              </w:rPr>
              <w:t>927011010000838038</w:t>
            </w:r>
          </w:p>
        </w:tc>
      </w:tr>
      <w:tr>
        <w:tc>
          <w:tcPr>
            <w:tcW w:w="2310" w:type="dxa"/>
            <w:gridSpan w:val="3"/>
          </w:tcPr>
          <w:p>
            <w:pPr/>
            <w:r>
              <w:rPr>
                <w:lang w:val="zh-CN"/>
                <w:rFonts w:ascii="Times New Roman" w:hAnsi="Times New Roman" w:cs="Times New Roman"/>
                <w:sz w:val="20"/>
                <w:szCs w:val="20"/>
                <w:color w:val="000000"/>
              </w:rPr>
              <w:t>中国银行昆明市环城南路支行</w:t>
            </w:r>
          </w:p>
        </w:tc>
        <w:tc>
          <w:tcPr>
            <w:tcW w:w="2310" w:type="dxa"/>
            <w:gridSpan w:val="2"/>
          </w:tcPr>
          <w:p>
            <w:pPr/>
            <w:r>
              <w:rPr>
                <w:lang w:val="zh-CN"/>
                <w:rFonts w:ascii="Times New Roman" w:hAnsi="Times New Roman" w:cs="Times New Roman"/>
                <w:sz w:val="20"/>
                <w:szCs w:val="20"/>
                <w:color w:val="000000"/>
              </w:rPr>
              <w:t>王美</w:t>
            </w:r>
          </w:p>
        </w:tc>
        <w:tc>
          <w:tcPr>
            <w:tcW w:w="2310" w:type="dxa"/>
            <w:gridSpan w:val="3"/>
          </w:tcPr>
          <w:p>
            <w:pPr/>
            <w:r>
              <w:rPr>
                <w:lang w:val="zh-CN"/>
                <w:rFonts w:ascii="Times New Roman" w:hAnsi="Times New Roman" w:cs="Times New Roman"/>
                <w:sz w:val="20"/>
                <w:szCs w:val="20"/>
                <w:color w:val="000000"/>
              </w:rPr>
              <w:t>6217 9027 0000 6040 008</w:t>
            </w:r>
          </w:p>
        </w:tc>
      </w:tr>
      <w:tr>
        <w:tc>
          <w:tcPr>
            <w:tcW w:w="2310" w:type="dxa"/>
            <w:gridSpan w:val="3"/>
          </w:tcPr>
          <w:p>
            <w:pPr/>
            <w:r>
              <w:rPr>
                <w:lang w:val="zh-CN"/>
                <w:rFonts w:ascii="Times New Roman" w:hAnsi="Times New Roman" w:cs="Times New Roman"/>
                <w:sz w:val="20"/>
                <w:szCs w:val="20"/>
                <w:color w:val="000000"/>
              </w:rPr>
              <w:t>中国银行股份有限公司楚雄州开发区支行</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gridSpan w:val="3"/>
          </w:tcPr>
          <w:p>
            <w:pPr/>
            <w:r>
              <w:rPr>
                <w:lang w:val="zh-CN"/>
                <w:rFonts w:ascii="Times New Roman" w:hAnsi="Times New Roman" w:cs="Times New Roman"/>
                <w:sz w:val="20"/>
                <w:szCs w:val="20"/>
                <w:color w:val="000000"/>
              </w:rPr>
              <w:t>135686677700</w:t>
            </w:r>
          </w:p>
        </w:tc>
      </w:tr>
      <w:tr>
        <w:tc>
          <w:tcPr>
            <w:tcW w:w="2310" w:type="dxa"/>
            <w:gridSpan w:val="3"/>
          </w:tcPr>
          <w:p>
            <w:pPr/>
            <w:r>
              <w:rPr>
                <w:lang w:val="zh-CN"/>
                <w:rFonts w:ascii="Times New Roman" w:hAnsi="Times New Roman" w:cs="Times New Roman"/>
                <w:sz w:val="20"/>
                <w:szCs w:val="20"/>
                <w:color w:val="000000"/>
              </w:rPr>
              <w:t>中国银行昆明市北京路支行</w:t>
            </w:r>
          </w:p>
        </w:tc>
        <w:tc>
          <w:tcPr>
            <w:tcW w:w="2310" w:type="dxa"/>
            <w:gridSpan w:val="2"/>
          </w:tcPr>
          <w:p>
            <w:pPr/>
            <w:r>
              <w:rPr>
                <w:lang w:val="zh-CN"/>
                <w:rFonts w:ascii="Times New Roman" w:hAnsi="Times New Roman" w:cs="Times New Roman"/>
                <w:sz w:val="20"/>
                <w:szCs w:val="20"/>
                <w:color w:val="000000"/>
              </w:rPr>
              <w:t>北京嘻道国际旅行社有限公司云南分公司</w:t>
            </w:r>
          </w:p>
        </w:tc>
        <w:tc>
          <w:tcPr>
            <w:tcW w:w="2310" w:type="dxa"/>
            <w:gridSpan w:val="3"/>
          </w:tcPr>
          <w:p>
            <w:pPr/>
            <w:r>
              <w:rPr>
                <w:lang w:val="zh-CN"/>
                <w:rFonts w:ascii="Times New Roman" w:hAnsi="Times New Roman" w:cs="Times New Roman"/>
                <w:sz w:val="20"/>
                <w:szCs w:val="20"/>
                <w:color w:val="000000"/>
              </w:rPr>
              <w:t>134107986557</w:t>
            </w:r>
          </w:p>
        </w:tc>
      </w:tr>
      <w:tr>
        <w:tc>
          <w:tcPr>
            <w:tcW w:w="2310" w:type="dxa"/>
            <w:gridSpan w:val="3"/>
          </w:tcPr>
          <w:p>
            <w:pPr/>
            <w:r>
              <w:rPr>
                <w:lang w:val="zh-CN"/>
                <w:rFonts w:ascii="Times New Roman" w:hAnsi="Times New Roman" w:cs="Times New Roman"/>
                <w:sz w:val="20"/>
                <w:szCs w:val="20"/>
                <w:color w:val="000000"/>
              </w:rPr>
              <w:t>中国银行股份有限公司昆明市长水机场支行</w:t>
            </w:r>
          </w:p>
        </w:tc>
        <w:tc>
          <w:tcPr>
            <w:tcW w:w="2310" w:type="dxa"/>
            <w:gridSpan w:val="2"/>
          </w:tcPr>
          <w:p>
            <w:pPr/>
            <w:r>
              <w:rPr>
                <w:lang w:val="zh-CN"/>
                <w:rFonts w:ascii="Times New Roman" w:hAnsi="Times New Roman" w:cs="Times New Roman"/>
                <w:sz w:val="20"/>
                <w:szCs w:val="20"/>
                <w:color w:val="000000"/>
              </w:rPr>
              <w:t>海外国际旅游集团控股有限公司民航路飞扬分公司</w:t>
            </w:r>
          </w:p>
        </w:tc>
        <w:tc>
          <w:tcPr>
            <w:tcW w:w="2310" w:type="dxa"/>
            <w:gridSpan w:val="3"/>
          </w:tcPr>
          <w:p>
            <w:pPr/>
            <w:r>
              <w:rPr>
                <w:lang w:val="zh-CN"/>
                <w:rFonts w:ascii="Times New Roman" w:hAnsi="Times New Roman" w:cs="Times New Roman"/>
                <w:sz w:val="20"/>
                <w:szCs w:val="20"/>
                <w:color w:val="000000"/>
              </w:rPr>
              <w:t>137306471187</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2026/06/15</w:t>
            </w:r>
          </w:p>
        </w:tc>
        <w:tc>
          <w:tcPr>
            <w:tcW w:w="2310" w:type="dxa"/>
            <w:gridSpan w:val="7"/>
          </w:tcPr>
          <w:p>
            <w:pPr/>
            <w:r>
              <w:rPr>
                <w:lang w:val="zh-CN"/>
                <w:rFonts w:ascii="Times New Roman" w:hAnsi="Times New Roman" w:cs="Times New Roman"/>
                <w:b/>
                <w:color w:val="000000"/>
              </w:rPr>
              <w:t>昆明→石家庄；(汽车、飞机)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昆明集合出发，飞机前往石家庄。我社师傅导游接站入住酒店，自由活动，餐食自理。</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早餐：不含；午餐：不含；晚餐：不含；住宿：石家庄</w:t>
            </w:r>
          </w:p>
        </w:tc>
      </w:tr>
      <w:tr>
        <w:tc>
          <w:tcPr>
            <w:tcW w:w="2310" w:type="dxa"/>
            <w:vAlign w:val="center"/>
            <w:vMerge w:val="restart"/>
          </w:tcPr>
          <w:p>
            <w:pPr/>
            <w:r>
              <w:rPr>
                <w:lang w:val="zh-CN"/>
                <w:rFonts w:ascii="Times New Roman" w:hAnsi="Times New Roman" w:cs="Times New Roman"/>
                <w:sz w:val="20"/>
                <w:szCs w:val="20"/>
                <w:color w:val="000000"/>
              </w:rPr>
              <w:t>2026/06/16</w:t>
            </w:r>
          </w:p>
        </w:tc>
        <w:tc>
          <w:tcPr>
            <w:tcW w:w="2310" w:type="dxa"/>
            <w:gridSpan w:val="7"/>
          </w:tcPr>
          <w:p>
            <w:pPr/>
            <w:r>
              <w:rPr>
                <w:lang w:val="zh-CN"/>
                <w:rFonts w:ascii="Times New Roman" w:hAnsi="Times New Roman" w:cs="Times New Roman"/>
                <w:b/>
                <w:color w:val="000000"/>
              </w:rPr>
              <w:t>天安门广场→故宫→什刹海→前门大街(汽车 )</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全世界最大的城市中心广场—【天安门广场】；瞻仰【人民英雄纪念碑】外景【人民大会堂外观】【国家大剧院外观】，游览全世界最大的宫殿建筑群【故宫博物院】（约2小时，门票实行预约制，如预约不上，退还门票或者替换成其他可替换的景点；）深度游览故宫，含东西6宫，打卡延禧宫。（特别赠送：含乘坐故宫摆渡车+故宫耳机）后前往【景山公园】俯瞰故宫。午餐后游览“亚洲最佳风情胜地”中国最美城区【什刹海风景区】（约30分钟）外观京城最高的古建筑之一【鼓楼】。乘车前往北京参观游览非常著名的商业街【前门大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w:t>
            </w:r>
          </w:p>
        </w:tc>
      </w:tr>
      <w:tr>
        <w:tc>
          <w:tcPr>
            <w:tcW w:w="2310" w:type="dxa"/>
            <w:vAlign w:val="center"/>
            <w:vMerge w:val="restart"/>
          </w:tcPr>
          <w:p>
            <w:pPr/>
            <w:r>
              <w:rPr>
                <w:lang w:val="zh-CN"/>
                <w:rFonts w:ascii="Times New Roman" w:hAnsi="Times New Roman" w:cs="Times New Roman"/>
                <w:sz w:val="20"/>
                <w:szCs w:val="20"/>
                <w:color w:val="000000"/>
              </w:rPr>
              <w:t>2026/06/17</w:t>
            </w:r>
          </w:p>
        </w:tc>
        <w:tc>
          <w:tcPr>
            <w:tcW w:w="2310" w:type="dxa"/>
            <w:gridSpan w:val="7"/>
          </w:tcPr>
          <w:p>
            <w:pPr/>
            <w:r>
              <w:rPr>
                <w:lang w:val="zh-CN"/>
                <w:rFonts w:ascii="Times New Roman" w:hAnsi="Times New Roman" w:cs="Times New Roman"/>
                <w:b/>
                <w:color w:val="000000"/>
              </w:rPr>
              <w:t>升旗仪式→润德水晶→八达岭长城→鸟巢水立方冰丝带外观(汽车)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据当天升旗仪式时间，早上观庄严的【天安门升旗仪式】（因起床时间较早，根据游客自身情况，少数服从多数参观）。前往北京润德水晶博物馆是一家集水晶为一体，大型综合性博物馆（备注：此景点内有购物场所，如需要请谨慎购买并索要发票）。参观【八达岭长城】(约120分钟)，感受“不到长城非好汉”的豪迈气魄，后前往【奥林区克公园】（约30分钟)【鸟巢、水立方外观】【冰丝带外观】为背景拍照留念，零距离体验2008激情、奥运情怀。奥林匹克公园位于城市传统中轴线的延伸，意喻中国千年历史文化的延续。国家速滑馆又称为“冰丝带”，是2022年北京冬奥会北京主赛区标志性场馆、唯一新建的冰上竞赛场馆。车览途经地处奥运核心区域、由五栋大楼呈现出极具中国色彩的龙型建筑【盘古大观】结束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w:t>
            </w:r>
          </w:p>
        </w:tc>
      </w:tr>
      <w:tr>
        <w:tc>
          <w:tcPr>
            <w:tcW w:w="2310" w:type="dxa"/>
            <w:vAlign w:val="center"/>
            <w:vMerge w:val="restart"/>
          </w:tcPr>
          <w:p>
            <w:pPr/>
            <w:r>
              <w:rPr>
                <w:lang w:val="zh-CN"/>
                <w:rFonts w:ascii="Times New Roman" w:hAnsi="Times New Roman" w:cs="Times New Roman"/>
                <w:sz w:val="20"/>
                <w:szCs w:val="20"/>
                <w:color w:val="000000"/>
              </w:rPr>
              <w:t>2026/06/18</w:t>
            </w:r>
          </w:p>
        </w:tc>
        <w:tc>
          <w:tcPr>
            <w:tcW w:w="2310" w:type="dxa"/>
            <w:gridSpan w:val="7"/>
          </w:tcPr>
          <w:p>
            <w:pPr/>
            <w:r>
              <w:rPr>
                <w:lang w:val="zh-CN"/>
                <w:rFonts w:ascii="Times New Roman" w:hAnsi="Times New Roman" w:cs="Times New Roman"/>
                <w:b/>
                <w:color w:val="000000"/>
              </w:rPr>
              <w:t>天坛公园（首道）→颐和园→军事博物馆或首都博物馆(汽车)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参观游览明清两代北京最大的祭祀性场所【天坛公园】(首道门票）（约1小时）：进入天坛感受古木参天，这里号称北京城市中的“天然氧吧”，是世界文化遗产，是世界上最大的皇家祭祀建筑群；游览【颐和园】世界上最美丽的皇家园林，是保存最完整的一座皇行宫御苑，被誉为“皇家园林博物馆”有山有水有画，十里青山行画里，双飞白鸟似江南的园林风光。前往清华/北大外景并拍照。前往【中国人民革命军事博物馆】（门票实行预约制，如预约不上，则安排【首都博物馆】或其他可预约的博物馆）中国唯一的大型综合性军事历史博物馆，占地面积8万多平方米，建筑面积6万多平方米，陈列面积4万多平方米。主楼高94.7米，中央7层，两侧4层。截止至2012年末，全馆有22个陈列厅、2个陈列广场。军博收藏34万多件文物和藏品。其中国家一级文物1793件，大型武器装备250余件，艺术品1600余件，对外军事交往中受赠礼品2551件。其中有铜鎏金弩机、镇远舰铁锚、叶挺指挥刀、三八式步枪和解放军第一辆坦克等重大历史价值文物。</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w:t>
            </w:r>
          </w:p>
        </w:tc>
      </w:tr>
      <w:tr>
        <w:tc>
          <w:tcPr>
            <w:tcW w:w="2310" w:type="dxa"/>
            <w:vAlign w:val="center"/>
            <w:vMerge w:val="restart"/>
          </w:tcPr>
          <w:p>
            <w:pPr/>
            <w:r>
              <w:rPr>
                <w:lang w:val="zh-CN"/>
                <w:rFonts w:ascii="Times New Roman" w:hAnsi="Times New Roman" w:cs="Times New Roman"/>
                <w:sz w:val="20"/>
                <w:szCs w:val="20"/>
                <w:color w:val="000000"/>
              </w:rPr>
              <w:t>2026/06/19</w:t>
            </w:r>
          </w:p>
        </w:tc>
        <w:tc>
          <w:tcPr>
            <w:tcW w:w="2310" w:type="dxa"/>
            <w:gridSpan w:val="7"/>
          </w:tcPr>
          <w:p>
            <w:pPr/>
            <w:r>
              <w:rPr>
                <w:lang w:val="zh-CN"/>
                <w:rFonts w:ascii="Times New Roman" w:hAnsi="Times New Roman" w:cs="Times New Roman"/>
                <w:b/>
                <w:color w:val="000000"/>
              </w:rPr>
              <w:t>周邓纪念馆→古文化街→食品街→意大利风情街→华东(汽车、火车)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天津AAAAA景区的【古文化街】（约1小时），欣赏民间手工艺术绝活，外观我国三大妈祖庙祖庭之一【天后宫】外观有着“禹贡黄河”之称的母亲河【海河】，远观天津市的地标性建筑--世界上最大的桥上摩天轮【天津之眼】后游览参观天津小吃汇聚地【食品街】（约1.5小时）。午餐后参观【周邓纪念馆】（约1小时）周一闭馆，如政策性闭馆则外观，去观看伟人影片、再一次经历“十里长街送总理”的悲痛，车览素有“万国建筑博览会”之称的租界洋楼，特定历史时期的产物，是世界建筑界的瑰宝，汇聚着西方各国异国风情的建筑【五大道意大利风景区】。火车硬卧前往华东；</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早餐：含；午餐：含；晚餐：含；住宿：火车上</w:t>
            </w:r>
          </w:p>
        </w:tc>
      </w:tr>
      <w:tr>
        <w:tc>
          <w:tcPr>
            <w:tcW w:w="2310" w:type="dxa"/>
            <w:vAlign w:val="center"/>
            <w:vMerge w:val="restart"/>
          </w:tcPr>
          <w:p>
            <w:pPr/>
            <w:r>
              <w:rPr>
                <w:lang w:val="zh-CN"/>
                <w:rFonts w:ascii="Times New Roman" w:hAnsi="Times New Roman" w:cs="Times New Roman"/>
                <w:sz w:val="20"/>
                <w:szCs w:val="20"/>
                <w:color w:val="000000"/>
              </w:rPr>
              <w:t>2026/06/20</w:t>
            </w:r>
          </w:p>
        </w:tc>
        <w:tc>
          <w:tcPr>
            <w:tcW w:w="2310" w:type="dxa"/>
            <w:gridSpan w:val="7"/>
          </w:tcPr>
          <w:p>
            <w:pPr/>
            <w:r>
              <w:rPr>
                <w:lang w:val="zh-CN"/>
                <w:rFonts w:ascii="Times New Roman" w:hAnsi="Times New Roman" w:cs="Times New Roman"/>
                <w:b/>
                <w:color w:val="000000"/>
              </w:rPr>
              <w:t>东关古街→中山陵→雨花台→秦淮河夫子庙乌衣巷；(汽车)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东关古街】是扬州城里最具有代表性的一条历史老街。它东至古运河边，西至国庆路，全长1122米，原街道路面为长条板石铺设，这条街以前不仅是扬州水陆交通要冲，而且是商业、手工业和宗教文化中心。前往南京，游览【中山陵】位于南京市玄武区紫金山南麓钟山风景名胜区内，是中国近代伟大的民主革命先行者孙中山先生的陵寝及其附属纪念建筑群，陵寝面积8万余平方米，于1926年春动工，至1929年夏建成。（温馨提示：1、如遇中山陵周一闭馆，只能游览景区前半段，请谅解。2、中山陵实行实名制预约，如未预约成功，则取消参观或替换其他景点。3、由于中山陵实施交通管控，小车，大巴车在管控时间段均禁止进出，需要换乘中山陵景交，费用20元/人，敬请自理。）后前往参观【雨花台】这是新中国后建成规模最大的纪念性陵园，也是中国新民主主义革命的纪念圣地。1988年1月，被国务院列为全国重点文物保护单位，2000年列为首批国家AAAA级旅游景区、全国爱国主义教育示范基地。现为首批全国廉政教育基地和全国百家红色旅游经典景区，以及江苏省首批党性教育现场教学基地。游集南京六朝文化和民俗市肆文化于一身的【秦淮河】【夫子庙】（游览时间约1.5小时），秦淮河风光带，游文德桥，乌衣巷，神州第一大照壁，感受“十里秦淮千年流淌，六朝胜地今更辉煌”，自费品尝南京小吃如：鸭血粉丝、赤豆元宵、鸭油烧饼，盐水鸭蜜汁藕等。秦淮河夫子庙实行交通优化，14:00–22:00期间团队必须坐接驳车入园，大巴禁入核心区；接驳费10元/人</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早餐：含；午餐：含；晚餐：含；住宿：无锡</w:t>
            </w:r>
          </w:p>
        </w:tc>
      </w:tr>
      <w:tr>
        <w:tc>
          <w:tcPr>
            <w:tcW w:w="2310" w:type="dxa"/>
            <w:vAlign w:val="center"/>
            <w:vMerge w:val="restart"/>
          </w:tcPr>
          <w:p>
            <w:pPr/>
            <w:r>
              <w:rPr>
                <w:lang w:val="zh-CN"/>
                <w:rFonts w:ascii="Times New Roman" w:hAnsi="Times New Roman" w:cs="Times New Roman"/>
                <w:sz w:val="20"/>
                <w:szCs w:val="20"/>
                <w:color w:val="000000"/>
              </w:rPr>
              <w:t>2026/06/21</w:t>
            </w:r>
          </w:p>
        </w:tc>
        <w:tc>
          <w:tcPr>
            <w:tcW w:w="2310" w:type="dxa"/>
            <w:gridSpan w:val="7"/>
          </w:tcPr>
          <w:p>
            <w:pPr/>
            <w:r>
              <w:rPr>
                <w:lang w:val="zh-CN"/>
                <w:rFonts w:ascii="Times New Roman" w:hAnsi="Times New Roman" w:cs="Times New Roman"/>
                <w:b/>
                <w:color w:val="000000"/>
              </w:rPr>
              <w:t>无锡三国城→同里古镇→退思园→七里山塘街(汽车)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影视基地【三国城】(乘仿古战船畅游太湖)；为拍摄《三国演义》而兴建的大型影视文化景区，“刘备招亲”、“火烧赤壁”、“横槊赋诗”、“草船借箭”、“借东风”、“诸葛吊孝”、“舌战群儒”等十多集的重场戏均在此拍摄。后车赴苏州，游览集古镇水乡园林为一体的国家5A级景区【同里古镇】属于江苏省苏州市吴江区，宋代建镇。镇区内始建于明清两代的花园、寺观、宅第和名人故居众多，“川”字形的15条小河把古镇区分隔成七个小岛，而49座古桥又将其连成一体，以“小桥、流水、人家”著称。游览世界文化遗产【退思园】位于中国江苏省苏州市吴江区同里镇古镇区新填街234号，始建于清光绪十一年至十三年（1885—1887年），该园是清朝官员任兰生被罢官返回故里后建造，园名引自《左传》中的“林父之事君也，进思尽忠，退思补过”之意。游览老苏州的缩影，苏州古代的金粉地，吴文化的代表【七里山塘街】，有典型江南水乡的风貌，家家户户前街后河，河上小船来往如梭，街上店铺林立，漫步山塘老街，游明园林建筑—玉涵堂；赏青砖小瓦马头墙，回廊挂落花格窗之苏州美景。游览完毕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早餐：含；午餐：含；晚餐：含；住宿：苏州</w:t>
            </w:r>
          </w:p>
        </w:tc>
      </w:tr>
      <w:tr>
        <w:tc>
          <w:tcPr>
            <w:tcW w:w="2310" w:type="dxa"/>
            <w:vAlign w:val="center"/>
            <w:vMerge w:val="restart"/>
          </w:tcPr>
          <w:p>
            <w:pPr/>
            <w:r>
              <w:rPr>
                <w:lang w:val="zh-CN"/>
                <w:rFonts w:ascii="Times New Roman" w:hAnsi="Times New Roman" w:cs="Times New Roman"/>
                <w:sz w:val="20"/>
                <w:szCs w:val="20"/>
                <w:color w:val="000000"/>
              </w:rPr>
              <w:t>2026/06/22</w:t>
            </w:r>
          </w:p>
        </w:tc>
        <w:tc>
          <w:tcPr>
            <w:tcW w:w="2310" w:type="dxa"/>
            <w:gridSpan w:val="7"/>
          </w:tcPr>
          <w:p>
            <w:pPr/>
            <w:r>
              <w:rPr>
                <w:lang w:val="zh-CN"/>
                <w:rFonts w:ascii="Times New Roman" w:hAnsi="Times New Roman" w:cs="Times New Roman"/>
                <w:b/>
                <w:color w:val="000000"/>
              </w:rPr>
              <w:t>珍珠博物馆→乌镇东栅→杭州西湖漫步(汽车)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参观【苏和盛珍珠博物馆】约60分钟，了解珍珠的生成过程，自由参观购物（非传统购物店，如需购买请索取小票），参观游览江南水乡“中国最后的枕水人家”，影视片《似水年华》的拍摄取景地【乌镇东栅】：乌镇是典型的江南水乡古镇，素有“鱼米之乡，丝绸之府”之称。一条流水贯穿全镇，它以水为街，以岸为市，两岸房屋建筑全面向河水，形成了水乡迷人的风光。车赴西湖，漫步【西湖景区】，漫步苏堤，游览曲院风荷,西湖十景之一，著名赏荷胜地等，苏堤春晓（西湖十景之一，移步换景，近距离颀赏西湖，如需乘坐游船，费用自理。车游钱塘江风光，观六和塔外景，品尝杭州风味茶餐【龙井御茶宴】，【温馨提示】西湖风景区涉及黄金周、节假日、周末，旅游旺季，实行交通管制，小车，大巴车均禁止进入，客人需要换乘景区公交车，交通方式自理：普通公交车，市民游客混座往返10元/人；一站式接驳车：往返20元/人；包车服务：500元/单趟，最大限乘50个人，具体当天以景区安排为准，敬请谅解。凡是团队涉及小交通费用的，我社免费赠送普通公交车往返，如客人有更高需求敬请自理，赠送费用不退。</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早餐：含；午餐：含；晚餐：含；住宿：杭州</w:t>
            </w:r>
          </w:p>
        </w:tc>
      </w:tr>
      <w:tr>
        <w:tc>
          <w:tcPr>
            <w:tcW w:w="2310" w:type="dxa"/>
            <w:vAlign w:val="center"/>
            <w:vMerge w:val="restart"/>
          </w:tcPr>
          <w:p>
            <w:pPr/>
            <w:r>
              <w:rPr>
                <w:lang w:val="zh-CN"/>
                <w:rFonts w:ascii="Times New Roman" w:hAnsi="Times New Roman" w:cs="Times New Roman"/>
                <w:sz w:val="20"/>
                <w:szCs w:val="20"/>
                <w:color w:val="000000"/>
              </w:rPr>
              <w:t>2026/06/23</w:t>
            </w:r>
          </w:p>
        </w:tc>
        <w:tc>
          <w:tcPr>
            <w:tcW w:w="2310" w:type="dxa"/>
            <w:gridSpan w:val="7"/>
          </w:tcPr>
          <w:p>
            <w:pPr/>
            <w:r>
              <w:rPr>
                <w:lang w:val="zh-CN"/>
                <w:rFonts w:ascii="Times New Roman" w:hAnsi="Times New Roman" w:cs="Times New Roman"/>
                <w:b/>
                <w:color w:val="000000"/>
              </w:rPr>
              <w:t>丝绸博物馆→上海艺术宫→外滩→南京路→城隍庙(汽车)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参观【丝绸博博物馆】约60分钟，是一家集丝绸文化为一体，大型综合性博物馆（备注：此景点内有购物场所，如需要请谨慎购买并索要发票）。赴上海参观游览【中华艺术宫】由中国2010年上海世博会中国国家馆改建而成，于2012年10月1日开馆，总建筑面积16.68万平米，展示面积近7万平米，拥有35个展厅。游览【外滩风光带】百年上海滩的标志和象征，万国建筑博览群、黄埔江风光。游览【南京路步行街】（游览时间约1.5小时）老上海十里洋场，中华五星商业街，数以千计的大中小型商场，汇集了中国最全和最时尚的商品；游览【上海城隍庙老街】（游览时间约1小时），自由品尝老上海美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早餐：含；午餐：含；晚餐：含；住宿：上海</w:t>
            </w:r>
          </w:p>
        </w:tc>
      </w:tr>
      <w:tr>
        <w:tc>
          <w:tcPr>
            <w:tcW w:w="2310" w:type="dxa"/>
            <w:vAlign w:val="center"/>
            <w:vMerge w:val="restart"/>
          </w:tcPr>
          <w:p>
            <w:pPr/>
            <w:r>
              <w:rPr>
                <w:lang w:val="zh-CN"/>
                <w:rFonts w:ascii="Times New Roman" w:hAnsi="Times New Roman" w:cs="Times New Roman"/>
                <w:sz w:val="20"/>
                <w:szCs w:val="20"/>
                <w:color w:val="000000"/>
              </w:rPr>
              <w:t>2026/06/24</w:t>
            </w:r>
          </w:p>
        </w:tc>
        <w:tc>
          <w:tcPr>
            <w:tcW w:w="2310" w:type="dxa"/>
            <w:gridSpan w:val="7"/>
          </w:tcPr>
          <w:p>
            <w:pPr/>
            <w:r>
              <w:rPr>
                <w:lang w:val="zh-CN"/>
                <w:rFonts w:ascii="Times New Roman" w:hAnsi="Times New Roman" w:cs="Times New Roman"/>
                <w:b/>
                <w:color w:val="000000"/>
              </w:rPr>
              <w:t>上海→扬州→昆明； (汽车、飞机 )</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早餐后，视航班时间送扬州机场返回昆明，结束愉快旅行。</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 xml:space="preserve">早餐：含；午餐：无；晚餐：无    ；住宿：无   </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住宿标准：全程入住商务型酒店双人标准间，单房差费用自理。2、交通服务：昆明-石家庄，扬州-昆明飞机经济舱含税机票，华东到北京火车硬卧，不指定车次，不指定铺位；当地空调旅游巴士。3、餐饮标准：行程所列9早16正，早餐酒店含（部分打包早），正餐餐标20-30元/人/餐（八菜一汤，十人一桌）早餐说明：行程所列早餐为酒店赠送，不吃不退，华东段酒店含早为主，北京为简单打包早餐为主，如果对餐饮有较高需要的客人请谨慎选择此产品。特色餐饮：京津段：老北京烤鸭餐（30元），北京饺子宴（25元），北京自助餐（30元），品尝天津狗不理包子（25元）；其他餐标20元/人华东段：无锡酱排骨（25），南京盐水鸭（20），龙井御茶宴（30），太湖河鲜宴（20），水乡特色宴（25），其他餐标20元/人4、门票服务：行程内所列各景点首道大门票。此产品已经按照最优惠的门票价格核算，所以任何老年证、残疾证、军官证等特殊证件无优惠差价可退，请知晓。（景点小门票，索道，环保车等自理）此旅游产品中，门票采取预约制。如报名后景区门票约满或者恰逢闭馆（例如故宫，毛主席纪念堂，颐和园，军博，天安门升旗仪式等）导致无法参观游览，我社将退还门票，或者替换为同类景点，我社概不承担责任，如果您对景点有特别需求，请谨慎选择此产品，不便之处敬请各位游客知悉！！！5、导游服务：地接导游+昆明起止全陪服务。6、儿童标准：儿童报价仅含单程机票，全程半餐车导服，不含火车票、门票、不占床。</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京津段：1、老北京堂会+黄包车200元/人；2、奥运杂技演出220元/人；3、天津极地海洋馆240元/人；4、慈禧水道150元/人；华东段：1、夜游上海登高套餐320元/人2、宋城千古情园区+表演320元/人3、苏州游船150元/人4、船游西湖+导游讲解60元/人凡是参加自费项目的团员所有的优惠证件不予以使用（如老年证、学生证、教师证等）。不参加自费的游客，请在景区附近自由活动或休息，等待参加自费团友游览结束后一起返回酒店。购物安排：京津段：北京润德水晶博物馆，天津麻花非传统购物费（如需购买请索取小票）华东段：苏和盛珍珠博物馆，桐乡丝绸博物馆。（非传统购物店，如需购买请索取小票）车销不算购物店</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李如会</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谭超群</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6</w:t>
                  </w:r>
                  <w:r w:rsidR="00192D3B">
                    <w:rPr>
                      <w:rFonts w:asciiTheme="minorEastAsia" w:hAnsiTheme="minorEastAsia" w:hint="eastAsia"/>
                    </w:rPr>
                    <w:t xml:space="preserve">月 </w:t>
                  </w:r>
                  <w:r>
                    <w:rPr>
                      <w:rFonts w:asciiTheme="minorEastAsia" w:hAnsiTheme="minorEastAsia" w:hint="eastAsia"/>
                    </w:rPr>
                    <w:t>7</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2026/6/7 9:10:40</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