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天龙八部东川吕文江</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吕文江</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15288476256</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缪志兵</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18987112632</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BH-CGT109C260629A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6-29暑期-锦绣京华-石进扬出-北京天津+华东五市双飞单卧10日游</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2026-06-29</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2026-07-08</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5(4大1小)</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2026-06-29 9C6952 昆明→石家庄 19:20-22:20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2026-07-08  9C8729 扬州→昆明 11:50-15:0</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1、张国顺</w:t>
            </w:r>
          </w:p>
        </w:tc>
        <w:tc>
          <w:tcPr>
            <w:tcW w:w="2310" w:type="dxa"/>
            <w:vAlign w:val="center"/>
            <w:gridSpan w:val="2"/>
          </w:tcPr>
          <w:p>
            <w:pPr/>
            <w:r>
              <w:rPr>
                <w:lang w:val="zh-CN"/>
                <w:rFonts w:ascii="Times New Roman" w:hAnsi="Times New Roman" w:cs="Times New Roman"/>
                <w:sz w:val="20"/>
                <w:szCs w:val="20"/>
                <w:color w:val="000000"/>
              </w:rPr>
              <w:t>530113196312310015</w:t>
            </w:r>
          </w:p>
        </w:tc>
        <w:tc>
          <w:tcPr>
            <w:tcW w:w="2310" w:type="dxa"/>
            <w:vAlign w:val="center"/>
          </w:tcPr>
          <w:p>
            <w:pPr/>
            <w:r>
              <w:rPr>
                <w:lang w:val="zh-CN"/>
                <w:rFonts w:ascii="Times New Roman" w:hAnsi="Times New Roman" w:cs="Times New Roman"/>
                <w:sz w:val="20"/>
                <w:szCs w:val="20"/>
                <w:color w:val="000000"/>
              </w:rPr>
              <w:t>13888100597</w:t>
            </w:r>
          </w:p>
        </w:tc>
        <w:tc>
          <w:tcPr>
            <w:tcW w:w="2310" w:type="dxa"/>
            <w:vAlign w:val="center"/>
          </w:tcPr>
          <w:p>
            <w:pPr/>
            <w:r>
              <w:rPr>
                <w:lang w:val="zh-CN"/>
                <w:rFonts w:ascii="Times New Roman" w:hAnsi="Times New Roman" w:cs="Times New Roman"/>
                <w:sz w:val="20"/>
                <w:szCs w:val="20"/>
                <w:color w:val="000000"/>
              </w:rPr>
              <w:t>2、邓先汝</w:t>
            </w:r>
          </w:p>
        </w:tc>
        <w:tc>
          <w:tcPr>
            <w:tcW w:w="2310" w:type="dxa"/>
            <w:vAlign w:val="center"/>
            <w:gridSpan w:val="2"/>
          </w:tcPr>
          <w:p>
            <w:pPr/>
            <w:r>
              <w:rPr>
                <w:lang w:val="zh-CN"/>
                <w:rFonts w:ascii="Times New Roman" w:hAnsi="Times New Roman" w:cs="Times New Roman"/>
                <w:sz w:val="20"/>
                <w:szCs w:val="20"/>
                <w:color w:val="000000"/>
              </w:rPr>
              <w:t>530113196410120063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3、张鑫钰</w:t>
            </w:r>
          </w:p>
        </w:tc>
        <w:tc>
          <w:tcPr>
            <w:tcW w:w="2310" w:type="dxa"/>
            <w:vAlign w:val="center"/>
            <w:gridSpan w:val="2"/>
          </w:tcPr>
          <w:p>
            <w:pPr/>
            <w:r>
              <w:rPr>
                <w:lang w:val="zh-CN"/>
                <w:rFonts w:ascii="Times New Roman" w:hAnsi="Times New Roman" w:cs="Times New Roman"/>
                <w:sz w:val="20"/>
                <w:szCs w:val="20"/>
                <w:color w:val="000000"/>
              </w:rPr>
              <w:t>530113201403220027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4、李炳森</w:t>
            </w:r>
          </w:p>
        </w:tc>
        <w:tc>
          <w:tcPr>
            <w:tcW w:w="2310" w:type="dxa"/>
            <w:vAlign w:val="center"/>
            <w:gridSpan w:val="2"/>
          </w:tcPr>
          <w:p>
            <w:pPr/>
            <w:r>
              <w:rPr>
                <w:lang w:val="zh-CN"/>
                <w:rFonts w:ascii="Times New Roman" w:hAnsi="Times New Roman" w:cs="Times New Roman"/>
                <w:sz w:val="20"/>
                <w:szCs w:val="20"/>
                <w:color w:val="000000"/>
              </w:rPr>
              <w:t>530113196702100355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5、李兴芝</w:t>
            </w:r>
          </w:p>
        </w:tc>
        <w:tc>
          <w:tcPr>
            <w:tcW w:w="2310" w:type="dxa"/>
            <w:vAlign w:val="center"/>
            <w:gridSpan w:val="2"/>
          </w:tcPr>
          <w:p>
            <w:pPr/>
            <w:r>
              <w:rPr>
                <w:lang w:val="zh-CN"/>
                <w:rFonts w:ascii="Times New Roman" w:hAnsi="Times New Roman" w:cs="Times New Roman"/>
                <w:sz w:val="20"/>
                <w:szCs w:val="20"/>
                <w:color w:val="000000"/>
              </w:rPr>
              <w:t>530113197002250349</w:t>
            </w:r>
          </w:p>
        </w:tc>
        <w:tc>
          <w:tcPr>
            <w:tcW w:w="2310" w:type="dxa"/>
            <w:vAlign w:val="center"/>
          </w:tcPr>
          <w:p>
            <w:pPr/>
            <w:r>
              <w:rPr>
                <w:lang w:val="zh-CN"/>
                <w:rFonts w:ascii="Times New Roman" w:hAnsi="Times New Roman" w:cs="Times New Roman"/>
                <w:sz w:val="20"/>
                <w:szCs w:val="20"/>
                <w:color w:val="000000"/>
              </w:rPr>
              <w:t>13888075254</w:t>
            </w: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5130.00</w:t>
            </w:r>
          </w:p>
        </w:tc>
        <w:tc>
          <w:tcPr>
            <w:tcW w:w="2310" w:type="dxa"/>
          </w:tcPr>
          <w:p>
            <w:pPr/>
            <w:r>
              <w:rPr>
                <w:lang w:val="zh-CN"/>
                <w:rFonts w:ascii="Times New Roman" w:hAnsi="Times New Roman" w:cs="Times New Roman"/>
                <w:sz w:val="20"/>
                <w:szCs w:val="20"/>
                <w:color w:val="000000"/>
              </w:rPr>
              <w:t>20520.00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小孩不占床</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4430.00</w:t>
            </w:r>
          </w:p>
        </w:tc>
        <w:tc>
          <w:tcPr>
            <w:tcW w:w="2310" w:type="dxa"/>
          </w:tcPr>
          <w:p>
            <w:pPr/>
            <w:r>
              <w:rPr>
                <w:lang w:val="zh-CN"/>
                <w:rFonts w:ascii="Times New Roman" w:hAnsi="Times New Roman" w:cs="Times New Roman"/>
                <w:sz w:val="20"/>
                <w:szCs w:val="20"/>
                <w:color w:val="000000"/>
              </w:rPr>
              <w:t>4430.00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总金额：贰万肆仟玖佰伍拾元整</w:t>
            </w:r>
          </w:p>
        </w:tc>
        <w:tc>
          <w:tcPr>
            <w:tcW w:w="2310" w:type="dxa"/>
            <w:textDirection w:val="right"/>
            <w:gridSpan w:val="3"/>
          </w:tcPr>
          <w:p>
            <w:pPr/>
            <w:r>
              <w:rPr>
                <w:lang w:val="zh-CN"/>
                <w:rFonts w:ascii="Times New Roman" w:hAnsi="Times New Roman" w:cs="Times New Roman"/>
                <w:b/>
                <w:color w:val="FF0000"/>
              </w:rPr>
              <w:t>24950.00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gridSpan w:val="3"/>
          </w:tcPr>
          <w:p>
            <w:pPr/>
            <w:r>
              <w:rPr>
                <w:lang w:val="zh-CN"/>
                <w:rFonts w:ascii="Times New Roman" w:hAnsi="Times New Roman" w:cs="Times New Roman"/>
                <w:sz w:val="20"/>
                <w:szCs w:val="20"/>
                <w:color w:val="000000"/>
              </w:rPr>
              <w:t>中国银行昆明市北京路支行</w:t>
            </w:r>
          </w:p>
        </w:tc>
        <w:tc>
          <w:tcPr>
            <w:tcW w:w="2310" w:type="dxa"/>
            <w:gridSpan w:val="2"/>
          </w:tcPr>
          <w:p>
            <w:pPr/>
            <w:r>
              <w:rPr>
                <w:lang w:val="zh-CN"/>
                <w:rFonts w:ascii="Times New Roman" w:hAnsi="Times New Roman" w:cs="Times New Roman"/>
                <w:sz w:val="20"/>
                <w:szCs w:val="20"/>
                <w:color w:val="000000"/>
              </w:rPr>
              <w:t>北京嘻道国际旅行社有限公司云南分公司</w:t>
            </w:r>
          </w:p>
        </w:tc>
        <w:tc>
          <w:tcPr>
            <w:tcW w:w="2310" w:type="dxa"/>
            <w:gridSpan w:val="3"/>
          </w:tcPr>
          <w:p>
            <w:pPr/>
            <w:r>
              <w:rPr>
                <w:lang w:val="zh-CN"/>
                <w:rFonts w:ascii="Times New Roman" w:hAnsi="Times New Roman" w:cs="Times New Roman"/>
                <w:sz w:val="20"/>
                <w:szCs w:val="20"/>
                <w:color w:val="000000"/>
              </w:rPr>
              <w:t>134107986557</w:t>
            </w:r>
          </w:p>
        </w:tc>
      </w:tr>
      <w:tr>
        <w:tc>
          <w:tcPr>
            <w:tcW w:w="2310" w:type="dxa"/>
            <w:gridSpan w:val="3"/>
          </w:tcPr>
          <w:p>
            <w:pPr/>
            <w:r>
              <w:rPr>
                <w:lang w:val="zh-CN"/>
                <w:rFonts w:ascii="Times New Roman" w:hAnsi="Times New Roman" w:cs="Times New Roman"/>
                <w:sz w:val="20"/>
                <w:szCs w:val="20"/>
                <w:color w:val="000000"/>
              </w:rPr>
              <w:t>中国银行股份有限公司昆明市长水机场支行</w:t>
            </w:r>
          </w:p>
        </w:tc>
        <w:tc>
          <w:tcPr>
            <w:tcW w:w="2310" w:type="dxa"/>
            <w:gridSpan w:val="2"/>
          </w:tcPr>
          <w:p>
            <w:pPr/>
            <w:r>
              <w:rPr>
                <w:lang w:val="zh-CN"/>
                <w:rFonts w:ascii="Times New Roman" w:hAnsi="Times New Roman" w:cs="Times New Roman"/>
                <w:sz w:val="20"/>
                <w:szCs w:val="20"/>
                <w:color w:val="000000"/>
              </w:rPr>
              <w:t>海外国际旅游集团控股有限公司民航路飞扬分公司</w:t>
            </w:r>
          </w:p>
        </w:tc>
        <w:tc>
          <w:tcPr>
            <w:tcW w:w="2310" w:type="dxa"/>
            <w:gridSpan w:val="3"/>
          </w:tcPr>
          <w:p>
            <w:pPr/>
            <w:r>
              <w:rPr>
                <w:lang w:val="zh-CN"/>
                <w:rFonts w:ascii="Times New Roman" w:hAnsi="Times New Roman" w:cs="Times New Roman"/>
                <w:sz w:val="20"/>
                <w:szCs w:val="20"/>
                <w:color w:val="000000"/>
              </w:rPr>
              <w:t>137306471187</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2026/06/29</w:t>
            </w:r>
          </w:p>
        </w:tc>
        <w:tc>
          <w:tcPr>
            <w:tcW w:w="2310" w:type="dxa"/>
            <w:gridSpan w:val="7"/>
          </w:tcPr>
          <w:p>
            <w:pPr/>
            <w:r>
              <w:rPr>
                <w:lang w:val="zh-CN"/>
                <w:rFonts w:ascii="Times New Roman" w:hAnsi="Times New Roman" w:cs="Times New Roman"/>
                <w:b/>
                <w:color w:val="000000"/>
              </w:rPr>
              <w:t>昆明→石家庄(飞机)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昆明集合出发，飞机前往石家庄，入住酒店，自由活动，餐食自理。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早餐：不含；午餐：不含；晚餐：不含；住宿：石家庄</w:t>
            </w:r>
          </w:p>
        </w:tc>
      </w:tr>
      <w:tr>
        <w:tc>
          <w:tcPr>
            <w:tcW w:w="2310" w:type="dxa"/>
            <w:vAlign w:val="center"/>
            <w:vMerge w:val="restart"/>
          </w:tcPr>
          <w:p>
            <w:pPr/>
            <w:r>
              <w:rPr>
                <w:lang w:val="zh-CN"/>
                <w:rFonts w:ascii="Times New Roman" w:hAnsi="Times New Roman" w:cs="Times New Roman"/>
                <w:sz w:val="20"/>
                <w:szCs w:val="20"/>
                <w:color w:val="000000"/>
              </w:rPr>
              <w:t>2026/06/30</w:t>
            </w:r>
          </w:p>
        </w:tc>
        <w:tc>
          <w:tcPr>
            <w:tcW w:w="2310" w:type="dxa"/>
            <w:gridSpan w:val="7"/>
          </w:tcPr>
          <w:p>
            <w:pPr/>
            <w:r>
              <w:rPr>
                <w:lang w:val="zh-CN"/>
                <w:rFonts w:ascii="Times New Roman" w:hAnsi="Times New Roman" w:cs="Times New Roman"/>
                <w:b/>
                <w:color w:val="000000"/>
              </w:rPr>
              <w:t>天安门广场→故宫→军博或首博→什刹海→前门大街(巴士)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全世界最大的城市中心广场—【天安门广场】；瞻仰【人民英雄纪念碑】外观【人民大会堂外观】【国家大剧院外观】。游览全世界最大的宫殿建筑群【故宫博物院】（约2小时）（门票实行预约制，如预约不上，退还门票或者替换成其他可替换的景点；特别赠送：故宫摆渡车+故宫耳麦）深度游览故宫，含东西6宫，打卡延禧宫。北京故宫是中国明清两代的皇家宫殿，旧称为紫禁城，位于北京中轴线的中心，是中国古代宫廷建筑之精华。是世界上现存规模最大、保存最为完整的木质结构古建筑之一。北京故宫被誉为世界五大宫之首（北京故宫、法国凡尔赛宫、英国白金汉宫、美国白宫、俄罗斯克里姆林宫），是国家AAAAA级旅游景区。前往【中国人民革命军事博物馆】或【首都博物馆】或【中国人民抗日战争纪念馆】（门票实行预约制，如预约不上，则安排【首都博物馆】或【中国人民抗日战争纪念馆】其他可预约的博物馆）中国唯一的大型综合性军事历史博物馆，占地面积8万多平方米，建筑面积6万多平方米，陈列面积4万多平方米。主楼高94.7米，中央7层，两侧4层。截止至2012年末，全馆有22个陈列厅、2个陈列广场。军博收藏34万多件文物和藏品。其中国家一级文物1793件，大型武器装备250余件，艺术品1600余件，对外军事交往中受赠礼品2551件。其中有铜鎏金弩机、镇远舰铁锚、叶挺指挥刀、三八式步枪和解放军第一辆坦克等重大历史价值文物。乘车前往北京参观游览非常著名的商业街【前门大街】，作为北京最具代表性的传统商业街之一，承载着丰富的历史文化底蕴，是游客探寻老北京风貌的必去之地。在这里，你可以品尝到地道的北京小吃，如糖葫芦的甜、炸酱面的咸，尽享美食盛宴。同时，你还可以漫步在充满历史气息的老北京胡同中，感受到浓厚的历史氛围。游览“亚洲最佳风情胜地”中国最美城区【什刹海风景区】（约30分钟），什刹海曾经是清朝王公贵族的后花园，至今仍保留有众多的王府、花园和名人故居，观赏“银锭观山”、“柳岸风荷”等具有百年历史美誉的自然景观。欣赏老北京旧城区最美丽、最繁华的地方，在这里您可以感受到彻彻底底的老北京胡同四合院的氛围，当夜幕降临，什刹海周边的酒吧灯红酒绿，让您一睹夜晚北京风采。外观京城最高的古建筑之一【鼓楼】。</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2026/07/01</w:t>
            </w:r>
          </w:p>
        </w:tc>
        <w:tc>
          <w:tcPr>
            <w:tcW w:w="2310" w:type="dxa"/>
            <w:gridSpan w:val="7"/>
          </w:tcPr>
          <w:p>
            <w:pPr/>
            <w:r>
              <w:rPr>
                <w:lang w:val="zh-CN"/>
                <w:rFonts w:ascii="Times New Roman" w:hAnsi="Times New Roman" w:cs="Times New Roman"/>
                <w:b/>
                <w:color w:val="000000"/>
              </w:rPr>
              <w:t>升旗仪式→八达岭长城→奥运杂技表演→鸟巢水立方夜景(巴士)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当天升旗仪式时间，早上观庄严的【天安门升旗仪式】（因起床时间较早，根据游客自身情况，少数服从多数参观）。前往游览【八达岭长城】(约120分钟)，感受“不到长城非好汉”的豪迈气魄。此段是京都西北方向重要关口，海拔高达1015米，地势险要，城关坚固。是万里长城的精华和杰出代表，历史上被称为“天下九塞之一”。为明长城中保存最好的一段，高超的建筑技艺和不朽的艺术价值，充分体现了中国古代劳动人民的智慧和力量。特别安排观看【奥运杂技演出】，释放内心的激情，共同沐浴永恒的奥运精神；凭借民族文化的光芒，放飞希望和梦想。向世界播洒文明的火种，奏一曲和平和谐发展的乐章；凝聚我们共同超越的力量，升腾中国梦，感动世界情。一起重温奥运激情，再现精彩视界！前往漫步【奥林区克公园】（约30分钟)尽赏【鸟巢、水立方外观】【冰丝带外观】的夜色之美，零距离体验2008激情、奥运情怀。奥林匹克公园位于城市传统中轴线的延伸，意喻中国千年历史文化的延续。国家速滑馆又称为“冰丝带”，是2022年北京冬奥会北京主赛区标志性场馆、唯一新建的冰上竞赛场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2026/07/02</w:t>
            </w:r>
          </w:p>
        </w:tc>
        <w:tc>
          <w:tcPr>
            <w:tcW w:w="2310" w:type="dxa"/>
            <w:gridSpan w:val="7"/>
          </w:tcPr>
          <w:p>
            <w:pPr/>
            <w:r>
              <w:rPr>
                <w:lang w:val="zh-CN"/>
                <w:rFonts w:ascii="Times New Roman" w:hAnsi="Times New Roman" w:cs="Times New Roman"/>
                <w:b/>
                <w:color w:val="000000"/>
              </w:rPr>
              <w:t>天坛（通票）→颐和园→圆明园（首道）→清华/北大外景(巴士)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明清两代北京最大的祭祀性场所【天坛公园】(通票）天坛是圜丘、祈谷两坛的总称，有坛墙两重，形成内外坛，坛墙南方北圆，象征天圆地方。主要建筑在内坛，圜丘坛在南、祈谷坛在北，二坛同在一条南北轴线上，中间有墙相隔。圜丘坛内主要建筑有圜丘坛、皇穹宇等等，祈谷坛内主要建筑有祈年殿、皇乾殿、祈年门等。游览世界上最美丽的皇家园林【颐和园】，是保存蕞完整的一座皇家行宫御苑，被誉为“皇家园林博物馆”。由万寿山、昆明湖构成基本框架，汲取江南园林的设计手法，借周围的山水环境，造就中国皇家园林的恢弘富丽气势，体现了“虽由人作，宛自天开”的造园意境。前往清华/北大外景并拍照。游览【圆明园遗址公园】（首道）位于北京市海淀区中部偏东，西北去西直门二十华里。其东南角为清华大学西门。圆明园遗址公园为著名的爱国主义教育基地。圆明园遗址公园建成于1988年，仅存山形水系、园林格局和建筑基址，假山叠石、雕刻残迹仍然可见。在“西洋楼”旧址建有园史展览馆，供人瞻仰凭吊。</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早餐：含；午餐：含；晚餐：含；住宿：北京/天津</w:t>
            </w:r>
          </w:p>
        </w:tc>
      </w:tr>
      <w:tr>
        <w:tc>
          <w:tcPr>
            <w:tcW w:w="2310" w:type="dxa"/>
            <w:vAlign w:val="center"/>
            <w:vMerge w:val="restart"/>
          </w:tcPr>
          <w:p>
            <w:pPr/>
            <w:r>
              <w:rPr>
                <w:lang w:val="zh-CN"/>
                <w:rFonts w:ascii="Times New Roman" w:hAnsi="Times New Roman" w:cs="Times New Roman"/>
                <w:sz w:val="20"/>
                <w:szCs w:val="20"/>
                <w:color w:val="000000"/>
              </w:rPr>
              <w:t>2026/07/03</w:t>
            </w:r>
          </w:p>
        </w:tc>
        <w:tc>
          <w:tcPr>
            <w:tcW w:w="2310" w:type="dxa"/>
            <w:gridSpan w:val="7"/>
          </w:tcPr>
          <w:p>
            <w:pPr/>
            <w:r>
              <w:rPr>
                <w:lang w:val="zh-CN"/>
                <w:rFonts w:ascii="Times New Roman" w:hAnsi="Times New Roman" w:cs="Times New Roman"/>
                <w:b/>
                <w:color w:val="000000"/>
              </w:rPr>
              <w:t>周邓纪念馆→天津三街→天津相声→天津博物馆→火车赴华东(火车上)</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早餐后，游览天津 AAAAA景区的【古文化街】（约1小时），欣赏民间手工艺术绝活，外观我国三大妈祖庙祖庭之一【天后宫】外观有着“禹贡黄河”之称的母亲河【海河】，远观天津市的地标性建筑--世界上最大的桥上摩天轮【天津之眼】后游览参观天津小吃汇聚地【食品街】（约1.5小时）。午餐后参观【周邓纪念馆】周一闭馆，如政策性闭馆则外观（约1小时），去观看伟人影片、再一次经历“十里长街送总理”的悲痛，车览素有“万国建筑博览会”之称的租界洋楼，特定历史时期的产物，是世界建筑界的瑰宝，汇聚着西方各国异国风情的建筑【五大道意大利风景区】。后赠送观赏【天津相声】。参观【天津博物馆】（周一闭馆，参观需提前7天实名预约；若遇闭馆或预约名额已满，则替换成为其他游览景点）是国家一级博物馆，坐落于河西区文化中心，外观现代大气，馆藏21万余件，以“一鼎、一画、一瓶”三大镇馆之宝闻名，是了解天津城市文脉与中华文物精华的必到之处。根据火车时间送站前往华东，夜宿火车，不指定车次和铺位！</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早餐：含；午餐：含；晚餐：含；住宿：夜宿火车硬卧</w:t>
            </w:r>
          </w:p>
        </w:tc>
      </w:tr>
      <w:tr>
        <w:tc>
          <w:tcPr>
            <w:tcW w:w="2310" w:type="dxa"/>
            <w:vAlign w:val="center"/>
            <w:vMerge w:val="restart"/>
          </w:tcPr>
          <w:p>
            <w:pPr/>
            <w:r>
              <w:rPr>
                <w:lang w:val="zh-CN"/>
                <w:rFonts w:ascii="Times New Roman" w:hAnsi="Times New Roman" w:cs="Times New Roman"/>
                <w:sz w:val="20"/>
                <w:szCs w:val="20"/>
                <w:color w:val="000000"/>
              </w:rPr>
              <w:t>2026/07/04</w:t>
            </w:r>
          </w:p>
        </w:tc>
        <w:tc>
          <w:tcPr>
            <w:tcW w:w="2310" w:type="dxa"/>
            <w:gridSpan w:val="7"/>
          </w:tcPr>
          <w:p>
            <w:pPr/>
            <w:r>
              <w:rPr>
                <w:lang w:val="zh-CN"/>
                <w:rFonts w:ascii="Times New Roman" w:hAnsi="Times New Roman" w:cs="Times New Roman"/>
                <w:b/>
                <w:color w:val="000000"/>
              </w:rPr>
              <w:t>中山陵（含往返接驳车）→长江大桥→雨花台→秦淮河夫子庙(巴士)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中山陵】（含中山陵接驳车）是中华民国国父、中国民主革命的先行者孙中山的陵墓，位于南京市东郊紫金山南麓，西邻明孝陵，东毗灵谷寺，是全国重点文物保护单位。参观博爱坊墓道、陵门、碑亭、祭堂、墓室等。温馨提示：1、如遇中山陵周一闭馆，只能游览景区前半段，请谅解。2、中山陵实行实名制预约，如未预约成功，则取消参观或替换其他景点。外观【南京长江大桥】（不上桥），是中国第一座完全依靠自主设计和建造的铁路、公路两用桥，被列为新金陵四十八景，是中国桥梁建设的里程碑，名副其实的“骨气桥”“争气桥”。游览爱国主义教育基地、风景秀美的城市森林公园【雨花台】，雨花台已有3000多年的历史，是一座以自然山林为依托，以红色旅游为主体，融和自然风光和人文景观为一体的全国独具特色的纪念性风景名胜区。雨花台是中国新民主主义革命的纪念圣地，百家红色旅游经典景区，景区内缅怀曾经为祖国抛头颅、洒热血的革命先烈。前往【夫子庙秦淮河风光带】（含接驳车）自由活动。位于秦淮河北岸的贡院街旁，原是祀奉孔子的地方，后多次遭毁并重建。是南京城南最繁华的的地带，集六朝与明清历史、金陵民俗文化大观园于一身，亭台楼阁、桨声灯影，乌衣巷、文德桥、棂星门、天下文枢坊、东市、西市等小商品一条街，自由活动，品南京十里秦淮的风韵，享金陵特色小食，赏老南京民俗风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早餐：含；午餐：含；晚餐：含；住宿：无锡</w:t>
            </w:r>
          </w:p>
        </w:tc>
      </w:tr>
      <w:tr>
        <w:tc>
          <w:tcPr>
            <w:tcW w:w="2310" w:type="dxa"/>
            <w:vAlign w:val="center"/>
            <w:vMerge w:val="restart"/>
          </w:tcPr>
          <w:p>
            <w:pPr/>
            <w:r>
              <w:rPr>
                <w:lang w:val="zh-CN"/>
                <w:rFonts w:ascii="Times New Roman" w:hAnsi="Times New Roman" w:cs="Times New Roman"/>
                <w:sz w:val="20"/>
                <w:szCs w:val="20"/>
                <w:color w:val="000000"/>
              </w:rPr>
              <w:t>2026/07/05</w:t>
            </w:r>
          </w:p>
        </w:tc>
        <w:tc>
          <w:tcPr>
            <w:tcW w:w="2310" w:type="dxa"/>
            <w:gridSpan w:val="7"/>
          </w:tcPr>
          <w:p>
            <w:pPr/>
            <w:r>
              <w:rPr>
                <w:lang w:val="zh-CN"/>
                <w:rFonts w:ascii="Times New Roman" w:hAnsi="Times New Roman" w:cs="Times New Roman"/>
                <w:b/>
                <w:color w:val="000000"/>
              </w:rPr>
              <w:t>无锡三国城→木渎古镇→七里山塘街游船(巴士)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车赴无锡游览影视基地【三国城】，乘仿古战船畅游太湖（此项目为免费赠送项目，遇天气问题或不可抗力因素无法乘坐者时，则取消，无费用可退，也不做等价交换）；为拍摄《三国演义》而兴建的大型影视文化景区，“刘备招亲”、“火烧赤壁”、“横槊赋诗”、“草船借箭”、“借东风”、“诸葛吊孝”、“舌战群儒”等十多集的重场戏均在此拍摄。早餐后， 浏览【木渎古镇】（游览时间约 1 小时）乘坐一段摇撸船游览中国唯一的园林水乡古镇木渎，赏江南美景。这座水乡古镇与苏州城同龄，迄今已有 2500 多年历史，在这里， 古镇依山而筑，傍水而居在清新空气、蓝天白云，绿水波涛、参天树木的掩映之下，宛如一片鲜为人知的世外桃源。其中【严家花园】严家花园在木渎镇山塘街王家桥畔，门对香溪，背倚灵岩，“虽处山林，而斯园结构之精，不让城市”，为江南名园之一，严家花园的前身是清乾隆年间苏州大名士、《古诗源》编者沈德潜的寓所。【虹饮山房】占地广袤，建筑大气，其“溪山风月之美，池亭花木之胜”，远胜过其它园林，乾隆每到木渎必游此园。因此，虹饮山房在当地又被称为乾隆皇帝的“民间行宫”。游览【七里山塘景区】，特别安排【船游山塘】，一条有将近1200年历史的步行街。曾是明清时期中国商贸、文化最为发达的街区之一，自古山塘街有“姑苏第一名街”之称。</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早餐：含；午餐：含；晚餐：含；住宿：苏州</w:t>
            </w:r>
          </w:p>
        </w:tc>
      </w:tr>
      <w:tr>
        <w:tc>
          <w:tcPr>
            <w:tcW w:w="2310" w:type="dxa"/>
            <w:vAlign w:val="center"/>
            <w:vMerge w:val="restart"/>
          </w:tcPr>
          <w:p>
            <w:pPr/>
            <w:r>
              <w:rPr>
                <w:lang w:val="zh-CN"/>
                <w:rFonts w:ascii="Times New Roman" w:hAnsi="Times New Roman" w:cs="Times New Roman"/>
                <w:sz w:val="20"/>
                <w:szCs w:val="20"/>
                <w:color w:val="000000"/>
              </w:rPr>
              <w:t>2026/07/06</w:t>
            </w:r>
          </w:p>
        </w:tc>
        <w:tc>
          <w:tcPr>
            <w:tcW w:w="2310" w:type="dxa"/>
            <w:gridSpan w:val="7"/>
          </w:tcPr>
          <w:p>
            <w:pPr/>
            <w:r>
              <w:rPr>
                <w:lang w:val="zh-CN"/>
                <w:rFonts w:ascii="Times New Roman" w:hAnsi="Times New Roman" w:cs="Times New Roman"/>
                <w:b/>
                <w:color w:val="000000"/>
              </w:rPr>
              <w:t>东栅→杭州西湖（含往返接驳车）→漫步西湖→钱塘江灯光秀(巴士)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千年水乡、似水年华的拍摄地【乌镇东栅】，自古繁华，千百年来，古镇民居临河而建、傍桥而市，镇内民风纯朴，是江南水乡“小桥、流水、人家”的典范，同时乌镇又有其它小镇所没有的临水建筑――水阁，乌镇由此又被称为“中国最后的枕水人家”。逢源姐妹廊桥，财神湾、蓝印花布坊，三白酿酒坊、江南百床馆等；乘车前往杭州，游览【西湖景区】（特别安排西湖接驳车20/人，西湖风景区涉及黄金周、节假日、周末，旅游旺季，实行交通管制，小车，大巴车均禁止进入，客人需要换乘景区公交车，我社特别安排西湖接驳车。）漫步苏堤，游览曲院风荷,西湖十景之一，著名赏荷胜地等，苏堤春晓（西湖十景之一，移步换景，近距离颀赏西湖）；品尝杭州风味茶餐【龙井御茶宴】。特别安排【钱塘江灯光秀】以城市楼宇为巨幕、光影为笔墨，展现杭州的山水人文与现代活力。</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早餐：含；午餐：含；晚餐：含；住宿：杭州</w:t>
            </w:r>
          </w:p>
        </w:tc>
      </w:tr>
      <w:tr>
        <w:tc>
          <w:tcPr>
            <w:tcW w:w="2310" w:type="dxa"/>
            <w:vAlign w:val="center"/>
            <w:vMerge w:val="restart"/>
          </w:tcPr>
          <w:p>
            <w:pPr/>
            <w:r>
              <w:rPr>
                <w:lang w:val="zh-CN"/>
                <w:rFonts w:ascii="Times New Roman" w:hAnsi="Times New Roman" w:cs="Times New Roman"/>
                <w:sz w:val="20"/>
                <w:szCs w:val="20"/>
                <w:color w:val="000000"/>
              </w:rPr>
              <w:t>2026/07/07</w:t>
            </w:r>
          </w:p>
        </w:tc>
        <w:tc>
          <w:tcPr>
            <w:tcW w:w="2310" w:type="dxa"/>
            <w:gridSpan w:val="7"/>
          </w:tcPr>
          <w:p>
            <w:pPr/>
            <w:r>
              <w:rPr>
                <w:lang w:val="zh-CN"/>
                <w:rFonts w:ascii="Times New Roman" w:hAnsi="Times New Roman" w:cs="Times New Roman"/>
                <w:b/>
                <w:color w:val="000000"/>
              </w:rPr>
              <w:t>中华艺术宫→外滩南京路→城隍庙→登金茂大厦+浦江游船(巴士)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赴上海参观游览【中华艺术宫】（如遇周一闭馆，则外观。）由中国2010年上海世博会中国国家馆改建而成，于2012年10月1日开馆，总建筑面积16.68万平米，展示面积近7万平米，拥有35个展厅。游览【外滩风光带】百年上海滩的标志和象征，万国建筑博览群、黄埔江风光。游览【南京路步行街】（游览时间约1.5小时）老上海十里洋场，中华五星商业街，数以千计的大中小型商场，汇集了中国最全和最时尚的商品；游览【上海城隍庙老街】（游览时间约1小时），自由品尝老上海美食。特别安排【上海夜景套装】登金茂大厦+船游黄浦江：登金茂大厦88层观光厅赏上海夜景，览上海全貌，【船游黄浦江】观外滩两岸夜景，上海夜景被誉为“世界七大夜景之一”，可与美国曼哈顿的夜景相媲美。</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早餐：含；午餐：含；晚餐：；住宿：上海</w:t>
            </w:r>
          </w:p>
        </w:tc>
      </w:tr>
      <w:tr>
        <w:tc>
          <w:tcPr>
            <w:tcW w:w="2310" w:type="dxa"/>
            <w:vAlign w:val="center"/>
            <w:vMerge w:val="restart"/>
          </w:tcPr>
          <w:p>
            <w:pPr/>
            <w:r>
              <w:rPr>
                <w:lang w:val="zh-CN"/>
                <w:rFonts w:ascii="Times New Roman" w:hAnsi="Times New Roman" w:cs="Times New Roman"/>
                <w:sz w:val="20"/>
                <w:szCs w:val="20"/>
                <w:color w:val="000000"/>
              </w:rPr>
              <w:t>2026/07/08</w:t>
            </w:r>
          </w:p>
        </w:tc>
        <w:tc>
          <w:tcPr>
            <w:tcW w:w="2310" w:type="dxa"/>
            <w:gridSpan w:val="7"/>
          </w:tcPr>
          <w:p>
            <w:pPr/>
            <w:r>
              <w:rPr>
                <w:lang w:val="zh-CN"/>
                <w:rFonts w:ascii="Times New Roman" w:hAnsi="Times New Roman" w:cs="Times New Roman"/>
                <w:b/>
                <w:color w:val="000000"/>
              </w:rPr>
              <w:t>上海→扬州→昆明 (飞机)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早餐后，视航班时间送机场返回昆明，结束愉快旅行。</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标准：全程入住精选商务酒店标准间，华东特别升级一晚网评携程四钻酒店，石家庄升级一晚网评三钻酒店；单房差费用自理。如果对住宿有较高要求的客人请谨慎选择此产品。2、交通服务：昆明-石家庄，扬州-昆明飞机经济舱含税机票，天津/北京到南京/扬州火车卧铺，不指定车次，不保证铺位上中下（随机分配）当地空调旅游巴士。3、餐饮标准：行程所列9早16正，早餐酒店含，正餐餐标25-70元/人/餐（八菜一汤，十人一桌）   早餐说明：行程所列早餐为酒店含，华东段酒店早为主，北京为简单打包热早餐，如果对早餐有较高需要的客人请谨慎选择此产品。特色餐饮：京津段：文旅演艺餐【宫廷盛宴】便宜坊烤鸭（70）；北京饺子宴（30），北京自助餐（30）；天津狗不理包子（30）；其他餐标30元/人华东段：无锡酱排骨（25），南京盐水鸭（25），龙井御茶宴（25），太湖河鲜宴（25），其他未说明餐标25元/人4、门票服务：行程内所列各景点首道大门票。此产品已经按照最优惠的门票价格核算，所以任何老年证、残疾证、军官证等特殊证件无优惠差价可退，请知晓。此旅游产品中，门票采取预约制。如报名后景区门票约满或者恰逢闭馆（例如故宫，颐和园，军事博物馆，天安门升旗仪式等）导致无法参观游览，我社将退还门票，或者替换为同类景点，我社概不承担责任，如果您对景点有特别需求，请谨慎选择此产品，不便之处敬请各位游客知悉！！！5、导游服务：地接导游+昆明起止全陪服务。6、儿童标准：儿童报价仅含单程机票，全程半餐车导服，不含火车票、门票、不占床。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自费包含  全程不推荐任何自费，北京华东精华景点，常规推荐精华自费一价全含！！！备注：此项目参团即送，不去不退费用，也不做等价交换；⑤ 奥运杂技表演；②故宫耳麦及摆渡车；③天津相声； ④鸟巢水立方夜景；⑤天津博物馆；⑥上海夜景：登金茂大厦+船游黄浦江；⑦西湖接驳车；⑧中山陵景交+夫子庙接驳车；⑨钱江新城灯光秀；⑩七里山塘街游船；  购物  全程0购物0自费0博物馆（车销及品尝类麻花超市不算购物店）  </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门票说明：此行程价格为优惠后的打包价格，客人持特殊证件（如老年证、军官证、记者证、学生证、残疾证等）均无任何优惠及减免退费，未产生的费用一律不退。2、游览顺序：此行程顺序为参考顺序，由于飞机航班的不确定性，行程、景点游览顺序、游览时间仅提供参考标准，具体视准确航班进出点，天气及实际游览情况而定，我社有权在保证行程景点完全不变的情况下（景区关闭及不可抗力因素除外），对行程游览顺序予以调整，敬请谅解！ 3、门票预约：此旅游产品中，门票采取预约制。如报名后景区门票约满或者恰逢闭馆（例如故宫，颐和园，天安门升旗仪式等导致无法参观游览，我社将退还门票，或替换为同类可替换的景点，我社概不承担责任，如果您对景点有特别需求，请谨慎选择此产品，不便之处敬请各位游客知悉！！！4、行程中客人自愿放弃或中途离团、脱团、退团（如用房、用餐、用车等）费用一律不退。5、团队机票一经出票，不得更改、退换，退票只退机场建设费和燃油附加费.  </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吕文江</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缪志兵</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6</w:t>
                  </w:r>
                  <w:r w:rsidR="00192D3B">
                    <w:rPr>
                      <w:rFonts w:asciiTheme="minorEastAsia" w:hAnsiTheme="minorEastAsia" w:hint="eastAsia"/>
                    </w:rPr>
                    <w:t xml:space="preserve">月 </w:t>
                  </w:r>
                  <w:r>
                    <w:rPr>
                      <w:rFonts w:asciiTheme="minorEastAsia" w:hAnsiTheme="minorEastAsia" w:hint="eastAsia"/>
                    </w:rPr>
                    <w:t>27</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2026/6/27 16:57:16</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