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走啦李如会</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李如会</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13888977646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BH-CGT20260615A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6-15老特惠北华-北京天津华东双飞单卧10日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2026-06-15 9C6952 昆明→石家庄 19:20-22:20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2026-06-24 9C8729 扬州→昆明 11:50-15:0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1、董加美</w:t>
            </w:r>
          </w:p>
        </w:tc>
        <w:tc>
          <w:tcPr>
            <w:tcW w:w="2310" w:type="dxa"/>
            <w:vAlign w:val="center"/>
            <w:gridSpan w:val="2"/>
          </w:tcPr>
          <w:p>
            <w:pPr/>
            <w:r>
              <w:rPr>
                <w:lang w:val="zh-CN"/>
                <w:rFonts w:ascii="Times New Roman" w:hAnsi="Times New Roman" w:cs="Times New Roman"/>
                <w:sz w:val="20"/>
                <w:szCs w:val="20"/>
                <w:color w:val="000000"/>
              </w:rPr>
              <w:t>530128196608263961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2、赵双花</w:t>
            </w:r>
          </w:p>
        </w:tc>
        <w:tc>
          <w:tcPr>
            <w:tcW w:w="2310" w:type="dxa"/>
            <w:vAlign w:val="center"/>
            <w:gridSpan w:val="2"/>
          </w:tcPr>
          <w:p>
            <w:pPr/>
            <w:r>
              <w:rPr>
                <w:lang w:val="zh-CN"/>
                <w:rFonts w:ascii="Times New Roman" w:hAnsi="Times New Roman" w:cs="Times New Roman"/>
                <w:sz w:val="20"/>
                <w:szCs w:val="20"/>
                <w:color w:val="000000"/>
              </w:rPr>
              <w:t>530128195910285120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3、李朝华</w:t>
            </w:r>
          </w:p>
        </w:tc>
        <w:tc>
          <w:tcPr>
            <w:tcW w:w="2310" w:type="dxa"/>
            <w:vAlign w:val="center"/>
            <w:gridSpan w:val="2"/>
          </w:tcPr>
          <w:p>
            <w:pPr/>
            <w:r>
              <w:rPr>
                <w:lang w:val="zh-CN"/>
                <w:rFonts w:ascii="Times New Roman" w:hAnsi="Times New Roman" w:cs="Times New Roman"/>
                <w:sz w:val="20"/>
                <w:szCs w:val="20"/>
                <w:color w:val="000000"/>
              </w:rPr>
              <w:t>53012819640402001X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4、康桂林</w:t>
            </w:r>
          </w:p>
        </w:tc>
        <w:tc>
          <w:tcPr>
            <w:tcW w:w="2310" w:type="dxa"/>
            <w:vAlign w:val="center"/>
            <w:gridSpan w:val="2"/>
          </w:tcPr>
          <w:p>
            <w:pPr/>
            <w:r>
              <w:rPr>
                <w:lang w:val="zh-CN"/>
                <w:rFonts w:ascii="Times New Roman" w:hAnsi="Times New Roman" w:cs="Times New Roman"/>
                <w:sz w:val="20"/>
                <w:szCs w:val="20"/>
                <w:color w:val="000000"/>
              </w:rPr>
              <w:t>530128195403292422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5、苏再全</w:t>
            </w:r>
          </w:p>
        </w:tc>
        <w:tc>
          <w:tcPr>
            <w:tcW w:w="2310" w:type="dxa"/>
            <w:vAlign w:val="center"/>
            <w:gridSpan w:val="2"/>
          </w:tcPr>
          <w:p>
            <w:pPr/>
            <w:r>
              <w:rPr>
                <w:lang w:val="zh-CN"/>
                <w:rFonts w:ascii="Times New Roman" w:hAnsi="Times New Roman" w:cs="Times New Roman"/>
                <w:sz w:val="20"/>
                <w:szCs w:val="20"/>
                <w:color w:val="000000"/>
              </w:rPr>
              <w:t>530128196812132459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6、张国美</w:t>
            </w:r>
          </w:p>
        </w:tc>
        <w:tc>
          <w:tcPr>
            <w:tcW w:w="2310" w:type="dxa"/>
            <w:vAlign w:val="center"/>
            <w:gridSpan w:val="2"/>
          </w:tcPr>
          <w:p>
            <w:pPr/>
            <w:r>
              <w:rPr>
                <w:lang w:val="zh-CN"/>
                <w:rFonts w:ascii="Times New Roman" w:hAnsi="Times New Roman" w:cs="Times New Roman"/>
                <w:sz w:val="20"/>
                <w:szCs w:val="20"/>
                <w:color w:val="000000"/>
              </w:rPr>
              <w:t>530128197011242441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7、苏知坤</w:t>
            </w:r>
          </w:p>
        </w:tc>
        <w:tc>
          <w:tcPr>
            <w:tcW w:w="2310" w:type="dxa"/>
            <w:vAlign w:val="center"/>
            <w:gridSpan w:val="2"/>
          </w:tcPr>
          <w:p>
            <w:pPr/>
            <w:r>
              <w:rPr>
                <w:lang w:val="zh-CN"/>
                <w:rFonts w:ascii="Times New Roman" w:hAnsi="Times New Roman" w:cs="Times New Roman"/>
                <w:sz w:val="20"/>
                <w:szCs w:val="20"/>
                <w:color w:val="000000"/>
              </w:rPr>
              <w:t>530128199207152412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8、周滔</w:t>
            </w:r>
          </w:p>
        </w:tc>
        <w:tc>
          <w:tcPr>
            <w:tcW w:w="2310" w:type="dxa"/>
            <w:vAlign w:val="center"/>
            <w:gridSpan w:val="2"/>
          </w:tcPr>
          <w:p>
            <w:pPr/>
            <w:r>
              <w:rPr>
                <w:lang w:val="zh-CN"/>
                <w:rFonts w:ascii="Times New Roman" w:hAnsi="Times New Roman" w:cs="Times New Roman"/>
                <w:sz w:val="20"/>
                <w:szCs w:val="20"/>
                <w:color w:val="000000"/>
              </w:rPr>
              <w:t>530381199510091520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9、苏昌文</w:t>
            </w:r>
          </w:p>
        </w:tc>
        <w:tc>
          <w:tcPr>
            <w:tcW w:w="2310" w:type="dxa"/>
            <w:vAlign w:val="center"/>
            <w:gridSpan w:val="2"/>
          </w:tcPr>
          <w:p>
            <w:pPr/>
            <w:r>
              <w:rPr>
                <w:lang w:val="zh-CN"/>
                <w:rFonts w:ascii="Times New Roman" w:hAnsi="Times New Roman" w:cs="Times New Roman"/>
                <w:sz w:val="20"/>
                <w:szCs w:val="20"/>
                <w:color w:val="000000"/>
              </w:rPr>
              <w:t>53012820161116241X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10、苏昌红</w:t>
            </w:r>
          </w:p>
        </w:tc>
        <w:tc>
          <w:tcPr>
            <w:tcW w:w="2310" w:type="dxa"/>
            <w:vAlign w:val="center"/>
            <w:gridSpan w:val="2"/>
          </w:tcPr>
          <w:p>
            <w:pPr/>
            <w:r>
              <w:rPr>
                <w:lang w:val="zh-CN"/>
                <w:rFonts w:ascii="Times New Roman" w:hAnsi="Times New Roman" w:cs="Times New Roman"/>
                <w:sz w:val="20"/>
                <w:szCs w:val="20"/>
                <w:color w:val="000000"/>
              </w:rPr>
              <w:t>530128201410192452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11、李苏芬</w:t>
            </w:r>
          </w:p>
        </w:tc>
        <w:tc>
          <w:tcPr>
            <w:tcW w:w="2310" w:type="dxa"/>
            <w:vAlign w:val="center"/>
            <w:gridSpan w:val="2"/>
          </w:tcPr>
          <w:p>
            <w:pPr/>
            <w:r>
              <w:rPr>
                <w:lang w:val="zh-CN"/>
                <w:rFonts w:ascii="Times New Roman" w:hAnsi="Times New Roman" w:cs="Times New Roman"/>
                <w:sz w:val="20"/>
                <w:szCs w:val="20"/>
                <w:color w:val="000000"/>
              </w:rPr>
              <w:t>530381197709281541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12、苏事存</w:t>
            </w:r>
          </w:p>
        </w:tc>
        <w:tc>
          <w:tcPr>
            <w:tcW w:w="2310" w:type="dxa"/>
            <w:vAlign w:val="center"/>
            <w:gridSpan w:val="2"/>
          </w:tcPr>
          <w:p>
            <w:pPr/>
            <w:r>
              <w:rPr>
                <w:lang w:val="zh-CN"/>
                <w:rFonts w:ascii="Times New Roman" w:hAnsi="Times New Roman" w:cs="Times New Roman"/>
                <w:sz w:val="20"/>
                <w:szCs w:val="20"/>
                <w:color w:val="000000"/>
              </w:rPr>
              <w:t>530128197105133027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13、赵家怀</w:t>
            </w:r>
          </w:p>
        </w:tc>
        <w:tc>
          <w:tcPr>
            <w:tcW w:w="2310" w:type="dxa"/>
            <w:vAlign w:val="center"/>
            <w:gridSpan w:val="2"/>
          </w:tcPr>
          <w:p>
            <w:pPr/>
            <w:r>
              <w:rPr>
                <w:lang w:val="zh-CN"/>
                <w:rFonts w:ascii="Times New Roman" w:hAnsi="Times New Roman" w:cs="Times New Roman"/>
                <w:sz w:val="20"/>
                <w:szCs w:val="20"/>
                <w:color w:val="000000"/>
              </w:rPr>
              <w:t>530128196302252442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14、汪发永</w:t>
            </w:r>
          </w:p>
        </w:tc>
        <w:tc>
          <w:tcPr>
            <w:tcW w:w="2310" w:type="dxa"/>
            <w:vAlign w:val="center"/>
            <w:gridSpan w:val="2"/>
          </w:tcPr>
          <w:p>
            <w:pPr/>
            <w:r>
              <w:rPr>
                <w:lang w:val="zh-CN"/>
                <w:rFonts w:ascii="Times New Roman" w:hAnsi="Times New Roman" w:cs="Times New Roman"/>
                <w:sz w:val="20"/>
                <w:szCs w:val="20"/>
                <w:color w:val="000000"/>
              </w:rPr>
              <w:t>530128196808040615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15、杨向群</w:t>
            </w:r>
          </w:p>
        </w:tc>
        <w:tc>
          <w:tcPr>
            <w:tcW w:w="2310" w:type="dxa"/>
            <w:vAlign w:val="center"/>
            <w:gridSpan w:val="2"/>
          </w:tcPr>
          <w:p>
            <w:pPr/>
            <w:r>
              <w:rPr>
                <w:lang w:val="zh-CN"/>
                <w:rFonts w:ascii="Times New Roman" w:hAnsi="Times New Roman" w:cs="Times New Roman"/>
                <w:sz w:val="20"/>
                <w:szCs w:val="20"/>
                <w:color w:val="000000"/>
              </w:rPr>
              <w:t>530128196408120640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16、李朝宗</w:t>
            </w:r>
          </w:p>
        </w:tc>
        <w:tc>
          <w:tcPr>
            <w:tcW w:w="2310" w:type="dxa"/>
            <w:vAlign w:val="center"/>
            <w:gridSpan w:val="2"/>
          </w:tcPr>
          <w:p>
            <w:pPr/>
            <w:r>
              <w:rPr>
                <w:lang w:val="zh-CN"/>
                <w:rFonts w:ascii="Times New Roman" w:hAnsi="Times New Roman" w:cs="Times New Roman"/>
                <w:sz w:val="20"/>
                <w:szCs w:val="20"/>
                <w:color w:val="000000"/>
              </w:rPr>
              <w:t>530128195910230613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2680.00</w:t>
            </w:r>
          </w:p>
        </w:tc>
        <w:tc>
          <w:tcPr>
            <w:tcW w:w="2310" w:type="dxa"/>
          </w:tcPr>
          <w:p>
            <w:pPr/>
            <w:r>
              <w:rPr>
                <w:lang w:val="zh-CN"/>
                <w:rFonts w:ascii="Times New Roman" w:hAnsi="Times New Roman" w:cs="Times New Roman"/>
                <w:sz w:val="20"/>
                <w:szCs w:val="20"/>
                <w:color w:val="000000"/>
              </w:rPr>
              <w:t>42880.00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200.00</w:t>
            </w:r>
          </w:p>
        </w:tc>
        <w:tc>
          <w:tcPr>
            <w:tcW w:w="2310" w:type="dxa"/>
            <w:gridSpan w:val="2"/>
          </w:tcPr>
          <w:p>
            <w:pPr/>
            <w:r>
              <w:rPr>
                <w:lang w:val="zh-CN"/>
                <w:rFonts w:ascii="Times New Roman" w:hAnsi="Times New Roman" w:cs="Times New Roman"/>
                <w:sz w:val="20"/>
                <w:szCs w:val="20"/>
                <w:color w:val="000000"/>
              </w:rPr>
              <w:t>散客票差价</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450.00</w:t>
            </w:r>
          </w:p>
        </w:tc>
        <w:tc>
          <w:tcPr>
            <w:tcW w:w="2310" w:type="dxa"/>
          </w:tcPr>
          <w:p>
            <w:pPr/>
            <w:r>
              <w:rPr>
                <w:lang w:val="zh-CN"/>
                <w:rFonts w:ascii="Times New Roman" w:hAnsi="Times New Roman" w:cs="Times New Roman"/>
                <w:sz w:val="20"/>
                <w:szCs w:val="20"/>
                <w:color w:val="000000"/>
              </w:rPr>
              <w:t>900.00</w:t>
            </w:r>
          </w:p>
        </w:tc>
        <w:tc>
          <w:tcPr>
            <w:tcW w:w="2310" w:type="dxa"/>
            <w:gridSpan w:val="2"/>
          </w:tcPr>
          <w:p>
            <w:pPr/>
            <w:r>
              <w:rPr>
                <w:lang w:val="zh-CN"/>
                <w:rFonts w:ascii="Times New Roman" w:hAnsi="Times New Roman" w:cs="Times New Roman"/>
                <w:sz w:val="20"/>
                <w:szCs w:val="20"/>
                <w:color w:val="000000"/>
              </w:rPr>
              <w:t>散客票差价</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总金额：肆万叁仟玖佰捌拾元整</w:t>
            </w:r>
          </w:p>
        </w:tc>
        <w:tc>
          <w:tcPr>
            <w:tcW w:w="2310" w:type="dxa"/>
            <w:textDirection w:val="right"/>
            <w:gridSpan w:val="3"/>
          </w:tcPr>
          <w:p>
            <w:pPr/>
            <w:r>
              <w:rPr>
                <w:lang w:val="zh-CN"/>
                <w:rFonts w:ascii="Times New Roman" w:hAnsi="Times New Roman" w:cs="Times New Roman"/>
                <w:b/>
                <w:color w:val="FF0000"/>
              </w:rPr>
              <w:t>43980.00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昆明→石家庄；(汽车、飞机)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天安门广场→故宫→什刹海→前门大街(汽车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2026/06/17</w:t>
            </w:r>
          </w:p>
        </w:tc>
        <w:tc>
          <w:tcPr>
            <w:tcW w:w="2310" w:type="dxa"/>
            <w:gridSpan w:val="7"/>
          </w:tcPr>
          <w:p>
            <w:pPr/>
            <w:r>
              <w:rPr>
                <w:lang w:val="zh-CN"/>
                <w:rFonts w:ascii="Times New Roman" w:hAnsi="Times New Roman" w:cs="Times New Roman"/>
                <w:b/>
                <w:color w:val="000000"/>
              </w:rPr>
              <w:t>升旗仪式→润德水晶→八达岭长城→鸟巢水立方冰丝带外观(汽车)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前往北京润德水晶博物馆是一家集水晶为一体，大型综合性博物馆（备注：此景点内有购物场所，如需要请谨慎购买并索要发票）。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车览途经地处奥运核心区域、由五栋大楼呈现出极具中国色彩的龙型建筑【盘古大观】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天坛公园（首道）→颐和园→军事博物馆或首都博物馆(汽车)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游览明清两代北京最大的祭祀性场所【天坛公园】(首道门票）（约1小时）：进入天坛感受古木参天，这里号称北京城市中的“天然氧吧”，是世界文化遗产，是世界上最大的皇家祭祀建筑群；游览【颐和园】世界上最美丽的皇家园林，是保存最完整的一座皇行宫御苑，被誉为“皇家园林博物馆”有山有水有画，十里青山行画里，双飞白鸟似江南的园林风光。前往清华/北大外景并拍照。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2026/06/19</w:t>
            </w:r>
          </w:p>
        </w:tc>
        <w:tc>
          <w:tcPr>
            <w:tcW w:w="2310" w:type="dxa"/>
            <w:gridSpan w:val="7"/>
          </w:tcPr>
          <w:p>
            <w:pPr/>
            <w:r>
              <w:rPr>
                <w:lang w:val="zh-CN"/>
                <w:rFonts w:ascii="Times New Roman" w:hAnsi="Times New Roman" w:cs="Times New Roman"/>
                <w:b/>
                <w:color w:val="000000"/>
              </w:rPr>
              <w:t>周邓纪念馆→古文化街→食品街→意大利风情街→华东(汽车、火车)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2026/06/20</w:t>
            </w:r>
          </w:p>
        </w:tc>
        <w:tc>
          <w:tcPr>
            <w:tcW w:w="2310" w:type="dxa"/>
            <w:gridSpan w:val="7"/>
          </w:tcPr>
          <w:p>
            <w:pPr/>
            <w:r>
              <w:rPr>
                <w:lang w:val="zh-CN"/>
                <w:rFonts w:ascii="Times New Roman" w:hAnsi="Times New Roman" w:cs="Times New Roman"/>
                <w:b/>
                <w:color w:val="000000"/>
              </w:rPr>
              <w:t>东关古街→中山陵→雨花台→秦淮河夫子庙乌衣巷；(汽车)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秦淮河夫子庙实行交通优化，14:00–22:00期间团队必须坐接驳车入园，大巴禁入核心区；接驳费10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2026/06/21</w:t>
            </w:r>
          </w:p>
        </w:tc>
        <w:tc>
          <w:tcPr>
            <w:tcW w:w="2310" w:type="dxa"/>
            <w:gridSpan w:val="7"/>
          </w:tcPr>
          <w:p>
            <w:pPr/>
            <w:r>
              <w:rPr>
                <w:lang w:val="zh-CN"/>
                <w:rFonts w:ascii="Times New Roman" w:hAnsi="Times New Roman" w:cs="Times New Roman"/>
                <w:b/>
                <w:color w:val="000000"/>
              </w:rPr>
              <w:t>无锡三国城→同里古镇→退思园→七里山塘街(汽车)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珍珠博物馆→乌镇东栅→杭州西湖漫步(汽车)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漫步苏堤，游览曲院风荷,西湖十景之一，著名赏荷胜地等，苏堤春晓（西湖十景之一，移步换景，近距离颀赏西湖，如需乘坐游船，费用自理。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丝绸博物馆→上海艺术宫→外滩→南京路→城隍庙(汽车)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上海→扬州→昆明； (汽车、飞机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早餐：含；午餐：无；晚餐：无    ；住宿：无   </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石家庄，扬州-昆明飞机经济舱含税机票，华东到北京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早餐为主，如果对餐饮有较高需要的客人请谨慎选择此产品。特色餐饮：京津段：老北京烤鸭餐（30元），北京饺子宴（25元），北京自助餐（30元），品尝天津狗不理包子（25元）；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京津段：1、老北京堂会+黄包车200元/人；2、奥运杂技演出220元/人；3、天津极地海洋馆240元/人；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桐乡丝绸博物馆。（非传统购物店，如需购买请索取小票）车销不算购物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李如会</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2026/6/6 19:09:18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