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走啦李如会</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李如会</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13888977646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BH-CGT20260615A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6-15老特惠北华-北京天津华东双飞单卧10日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16(14大2小)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2026-06-15 9C6952 昆明→石家庄 19:20-22:20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2026-06-24 9C8729 扬州→昆明 11:50-15:0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1、董加美</w:t>
            </w:r>
          </w:p>
        </w:tc>
        <w:tc>
          <w:tcPr>
            <w:tcW w:w="2310" w:type="dxa"/>
            <w:vAlign w:val="center"/>
            <w:gridSpan w:val="2"/>
          </w:tcPr>
          <w:p>
            <w:pPr/>
            <w:r>
              <w:rPr>
                <w:lang w:val="zh-CN"/>
                <w:rFonts w:ascii="Times New Roman" w:hAnsi="Times New Roman" w:cs="Times New Roman"/>
                <w:sz w:val="20"/>
                <w:szCs w:val="20"/>
                <w:color w:val="000000"/>
              </w:rPr>
              <w:t>530128196608263961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2、赵双花</w:t>
            </w:r>
          </w:p>
        </w:tc>
        <w:tc>
          <w:tcPr>
            <w:tcW w:w="2310" w:type="dxa"/>
            <w:vAlign w:val="center"/>
            <w:gridSpan w:val="2"/>
          </w:tcPr>
          <w:p>
            <w:pPr/>
            <w:r>
              <w:rPr>
                <w:lang w:val="zh-CN"/>
                <w:rFonts w:ascii="Times New Roman" w:hAnsi="Times New Roman" w:cs="Times New Roman"/>
                <w:sz w:val="20"/>
                <w:szCs w:val="20"/>
                <w:color w:val="000000"/>
              </w:rPr>
              <w:t>530128195910285120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3、李朝华</w:t>
            </w:r>
          </w:p>
        </w:tc>
        <w:tc>
          <w:tcPr>
            <w:tcW w:w="2310" w:type="dxa"/>
            <w:vAlign w:val="center"/>
            <w:gridSpan w:val="2"/>
          </w:tcPr>
          <w:p>
            <w:pPr/>
            <w:r>
              <w:rPr>
                <w:lang w:val="zh-CN"/>
                <w:rFonts w:ascii="Times New Roman" w:hAnsi="Times New Roman" w:cs="Times New Roman"/>
                <w:sz w:val="20"/>
                <w:szCs w:val="20"/>
                <w:color w:val="000000"/>
              </w:rPr>
              <w:t>53012819640402001X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4、康桂林</w:t>
            </w:r>
          </w:p>
        </w:tc>
        <w:tc>
          <w:tcPr>
            <w:tcW w:w="2310" w:type="dxa"/>
            <w:vAlign w:val="center"/>
            <w:gridSpan w:val="2"/>
          </w:tcPr>
          <w:p>
            <w:pPr/>
            <w:r>
              <w:rPr>
                <w:lang w:val="zh-CN"/>
                <w:rFonts w:ascii="Times New Roman" w:hAnsi="Times New Roman" w:cs="Times New Roman"/>
                <w:sz w:val="20"/>
                <w:szCs w:val="20"/>
                <w:color w:val="000000"/>
              </w:rPr>
              <w:t>530128195403292422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5、苏再全</w:t>
            </w:r>
          </w:p>
        </w:tc>
        <w:tc>
          <w:tcPr>
            <w:tcW w:w="2310" w:type="dxa"/>
            <w:vAlign w:val="center"/>
            <w:gridSpan w:val="2"/>
          </w:tcPr>
          <w:p>
            <w:pPr/>
            <w:r>
              <w:rPr>
                <w:lang w:val="zh-CN"/>
                <w:rFonts w:ascii="Times New Roman" w:hAnsi="Times New Roman" w:cs="Times New Roman"/>
                <w:sz w:val="20"/>
                <w:szCs w:val="20"/>
                <w:color w:val="000000"/>
              </w:rPr>
              <w:t>530128196812132459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6、张国美</w:t>
            </w:r>
          </w:p>
        </w:tc>
        <w:tc>
          <w:tcPr>
            <w:tcW w:w="2310" w:type="dxa"/>
            <w:vAlign w:val="center"/>
            <w:gridSpan w:val="2"/>
          </w:tcPr>
          <w:p>
            <w:pPr/>
            <w:r>
              <w:rPr>
                <w:lang w:val="zh-CN"/>
                <w:rFonts w:ascii="Times New Roman" w:hAnsi="Times New Roman" w:cs="Times New Roman"/>
                <w:sz w:val="20"/>
                <w:szCs w:val="20"/>
                <w:color w:val="000000"/>
              </w:rPr>
              <w:t>530128197011242441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7、苏知坤</w:t>
            </w:r>
          </w:p>
        </w:tc>
        <w:tc>
          <w:tcPr>
            <w:tcW w:w="2310" w:type="dxa"/>
            <w:vAlign w:val="center"/>
            <w:gridSpan w:val="2"/>
          </w:tcPr>
          <w:p>
            <w:pPr/>
            <w:r>
              <w:rPr>
                <w:lang w:val="zh-CN"/>
                <w:rFonts w:ascii="Times New Roman" w:hAnsi="Times New Roman" w:cs="Times New Roman"/>
                <w:sz w:val="20"/>
                <w:szCs w:val="20"/>
                <w:color w:val="000000"/>
              </w:rPr>
              <w:t>530128199207152412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8、周滔</w:t>
            </w:r>
          </w:p>
        </w:tc>
        <w:tc>
          <w:tcPr>
            <w:tcW w:w="2310" w:type="dxa"/>
            <w:vAlign w:val="center"/>
            <w:gridSpan w:val="2"/>
          </w:tcPr>
          <w:p>
            <w:pPr/>
            <w:r>
              <w:rPr>
                <w:lang w:val="zh-CN"/>
                <w:rFonts w:ascii="Times New Roman" w:hAnsi="Times New Roman" w:cs="Times New Roman"/>
                <w:sz w:val="20"/>
                <w:szCs w:val="20"/>
                <w:color w:val="000000"/>
              </w:rPr>
              <w:t>530381199510091520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9、苏昌文</w:t>
            </w:r>
          </w:p>
        </w:tc>
        <w:tc>
          <w:tcPr>
            <w:tcW w:w="2310" w:type="dxa"/>
            <w:vAlign w:val="center"/>
            <w:gridSpan w:val="2"/>
          </w:tcPr>
          <w:p>
            <w:pPr/>
            <w:r>
              <w:rPr>
                <w:lang w:val="zh-CN"/>
                <w:rFonts w:ascii="Times New Roman" w:hAnsi="Times New Roman" w:cs="Times New Roman"/>
                <w:sz w:val="20"/>
                <w:szCs w:val="20"/>
                <w:color w:val="000000"/>
              </w:rPr>
              <w:t>53012820161116241X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10、苏昌红</w:t>
            </w:r>
          </w:p>
        </w:tc>
        <w:tc>
          <w:tcPr>
            <w:tcW w:w="2310" w:type="dxa"/>
            <w:vAlign w:val="center"/>
            <w:gridSpan w:val="2"/>
          </w:tcPr>
          <w:p>
            <w:pPr/>
            <w:r>
              <w:rPr>
                <w:lang w:val="zh-CN"/>
                <w:rFonts w:ascii="Times New Roman" w:hAnsi="Times New Roman" w:cs="Times New Roman"/>
                <w:sz w:val="20"/>
                <w:szCs w:val="20"/>
                <w:color w:val="000000"/>
              </w:rPr>
              <w:t>530128201410192452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11、李苏芬</w:t>
            </w:r>
          </w:p>
        </w:tc>
        <w:tc>
          <w:tcPr>
            <w:tcW w:w="2310" w:type="dxa"/>
            <w:vAlign w:val="center"/>
            <w:gridSpan w:val="2"/>
          </w:tcPr>
          <w:p>
            <w:pPr/>
            <w:r>
              <w:rPr>
                <w:lang w:val="zh-CN"/>
                <w:rFonts w:ascii="Times New Roman" w:hAnsi="Times New Roman" w:cs="Times New Roman"/>
                <w:sz w:val="20"/>
                <w:szCs w:val="20"/>
                <w:color w:val="000000"/>
              </w:rPr>
              <w:t>530381197709281541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12、苏事存</w:t>
            </w:r>
          </w:p>
        </w:tc>
        <w:tc>
          <w:tcPr>
            <w:tcW w:w="2310" w:type="dxa"/>
            <w:vAlign w:val="center"/>
            <w:gridSpan w:val="2"/>
          </w:tcPr>
          <w:p>
            <w:pPr/>
            <w:r>
              <w:rPr>
                <w:lang w:val="zh-CN"/>
                <w:rFonts w:ascii="Times New Roman" w:hAnsi="Times New Roman" w:cs="Times New Roman"/>
                <w:sz w:val="20"/>
                <w:szCs w:val="20"/>
                <w:color w:val="000000"/>
              </w:rPr>
              <w:t>530128197105133027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13、赵家怀</w:t>
            </w:r>
          </w:p>
        </w:tc>
        <w:tc>
          <w:tcPr>
            <w:tcW w:w="2310" w:type="dxa"/>
            <w:vAlign w:val="center"/>
            <w:gridSpan w:val="2"/>
          </w:tcPr>
          <w:p>
            <w:pPr/>
            <w:r>
              <w:rPr>
                <w:lang w:val="zh-CN"/>
                <w:rFonts w:ascii="Times New Roman" w:hAnsi="Times New Roman" w:cs="Times New Roman"/>
                <w:sz w:val="20"/>
                <w:szCs w:val="20"/>
                <w:color w:val="000000"/>
              </w:rPr>
              <w:t>530128196302252442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14、汪发永</w:t>
            </w:r>
          </w:p>
        </w:tc>
        <w:tc>
          <w:tcPr>
            <w:tcW w:w="2310" w:type="dxa"/>
            <w:vAlign w:val="center"/>
            <w:gridSpan w:val="2"/>
          </w:tcPr>
          <w:p>
            <w:pPr/>
            <w:r>
              <w:rPr>
                <w:lang w:val="zh-CN"/>
                <w:rFonts w:ascii="Times New Roman" w:hAnsi="Times New Roman" w:cs="Times New Roman"/>
                <w:sz w:val="20"/>
                <w:szCs w:val="20"/>
                <w:color w:val="000000"/>
              </w:rPr>
              <w:t>530128196808040615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15、杨向群</w:t>
            </w:r>
          </w:p>
        </w:tc>
        <w:tc>
          <w:tcPr>
            <w:tcW w:w="2310" w:type="dxa"/>
            <w:vAlign w:val="center"/>
            <w:gridSpan w:val="2"/>
          </w:tcPr>
          <w:p>
            <w:pPr/>
            <w:r>
              <w:rPr>
                <w:lang w:val="zh-CN"/>
                <w:rFonts w:ascii="Times New Roman" w:hAnsi="Times New Roman" w:cs="Times New Roman"/>
                <w:sz w:val="20"/>
                <w:szCs w:val="20"/>
                <w:color w:val="000000"/>
              </w:rPr>
              <w:t>530128196408120640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16、李朝宗</w:t>
            </w:r>
          </w:p>
        </w:tc>
        <w:tc>
          <w:tcPr>
            <w:tcW w:w="2310" w:type="dxa"/>
            <w:vAlign w:val="center"/>
            <w:gridSpan w:val="2"/>
          </w:tcPr>
          <w:p>
            <w:pPr/>
            <w:r>
              <w:rPr>
                <w:lang w:val="zh-CN"/>
                <w:rFonts w:ascii="Times New Roman" w:hAnsi="Times New Roman" w:cs="Times New Roman"/>
                <w:sz w:val="20"/>
                <w:szCs w:val="20"/>
                <w:color w:val="000000"/>
              </w:rPr>
              <w:t>530128195910230613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14</w:t>
            </w:r>
          </w:p>
        </w:tc>
        <w:tc>
          <w:tcPr>
            <w:tcW w:w="2310" w:type="dxa"/>
          </w:tcPr>
          <w:p>
            <w:pPr/>
            <w:r>
              <w:rPr>
                <w:lang w:val="zh-CN"/>
                <w:rFonts w:ascii="Times New Roman" w:hAnsi="Times New Roman" w:cs="Times New Roman"/>
                <w:sz w:val="20"/>
                <w:szCs w:val="20"/>
                <w:color w:val="000000"/>
              </w:rPr>
              <w:t>2400.00</w:t>
            </w:r>
          </w:p>
        </w:tc>
        <w:tc>
          <w:tcPr>
            <w:tcW w:w="2310" w:type="dxa"/>
          </w:tcPr>
          <w:p>
            <w:pPr/>
            <w:r>
              <w:rPr>
                <w:lang w:val="zh-CN"/>
                <w:rFonts w:ascii="Times New Roman" w:hAnsi="Times New Roman" w:cs="Times New Roman"/>
                <w:sz w:val="20"/>
                <w:szCs w:val="20"/>
                <w:color w:val="000000"/>
              </w:rPr>
              <w:t>33600.00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450.00</w:t>
            </w:r>
          </w:p>
        </w:tc>
        <w:tc>
          <w:tcPr>
            <w:tcW w:w="2310" w:type="dxa"/>
          </w:tcPr>
          <w:p>
            <w:pPr/>
            <w:r>
              <w:rPr>
                <w:lang w:val="zh-CN"/>
                <w:rFonts w:ascii="Times New Roman" w:hAnsi="Times New Roman" w:cs="Times New Roman"/>
                <w:sz w:val="20"/>
                <w:szCs w:val="20"/>
                <w:color w:val="000000"/>
              </w:rPr>
              <w:t>900.00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小孩占床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2100.00</w:t>
            </w:r>
          </w:p>
        </w:tc>
        <w:tc>
          <w:tcPr>
            <w:tcW w:w="2310" w:type="dxa"/>
          </w:tcPr>
          <w:p>
            <w:pPr/>
            <w:r>
              <w:rPr>
                <w:lang w:val="zh-CN"/>
                <w:rFonts w:ascii="Times New Roman" w:hAnsi="Times New Roman" w:cs="Times New Roman"/>
                <w:sz w:val="20"/>
                <w:szCs w:val="20"/>
                <w:color w:val="000000"/>
              </w:rPr>
              <w:t>4200.00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总金额：叁万捌仟玖佰元整</w:t>
            </w:r>
          </w:p>
        </w:tc>
        <w:tc>
          <w:tcPr>
            <w:tcW w:w="2310" w:type="dxa"/>
            <w:textDirection w:val="right"/>
            <w:gridSpan w:val="3"/>
          </w:tcPr>
          <w:p>
            <w:pPr/>
            <w:r>
              <w:rPr>
                <w:lang w:val="zh-CN"/>
                <w:rFonts w:ascii="Times New Roman" w:hAnsi="Times New Roman" w:cs="Times New Roman"/>
                <w:b/>
                <w:color w:val="FF0000"/>
              </w:rPr>
              <w:t>38900.00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昆明→石家庄；(汽车、飞机)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天安门广场→故宫→什刹海→前门大街(汽车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升旗仪式→润德水晶→八达岭长城→鸟巢水立方冰丝带外观(汽车)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前往北京润德水晶博物馆是一家集水晶为一体，大型综合性博物馆（备注：此景点内有购物场所，如需要请谨慎购买并索要发票）。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车览途经地处奥运核心区域、由五栋大楼呈现出极具中国色彩的龙型建筑【盘古大观】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天坛公园（首道）→颐和园→军事博物馆或首都博物馆(汽车)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游览明清两代北京最大的祭祀性场所【天坛公园】(首道门票）（约1小时）：进入天坛感受古木参天，这里号称北京城市中的“天然氧吧”，是世界文化遗产，是世界上最大的皇家祭祀建筑群；游览【颐和园】世界上最美丽的皇家园林，是保存最完整的一座皇行宫御苑，被誉为“皇家园林博物馆”有山有水有画，十里青山行画里，双飞白鸟似江南的园林风光。前往清华/北大外景并拍照。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周邓纪念馆→古文化街→食品街→意大利风情街→华东(汽车、火车)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东关古街→中山陵→雨花台→秦淮河夫子庙乌衣巷；(汽车)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秦淮河夫子庙实行交通优化，14:00–22:00期间团队必须坐接驳车入园，大巴禁入核心区；接驳费10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珍珠博物馆→乌镇东栅→杭州西湖漫步(汽车)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漫步苏堤，游览曲院风荷,西湖十景之一，著名赏荷胜地等，苏堤春晓（西湖十景之一，移步换景，近距离颀赏西湖，如需乘坐游船，费用自理。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丝绸博物馆→上海艺术宫→外滩→南京路→城隍庙(汽车)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上海→扬州→昆明； (汽车、飞机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早餐：含；午餐：无；晚餐：无    ；住宿：无   </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石家庄，扬州-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早餐为主，如果对餐饮有较高需要的客人请谨慎选择此产品。特色餐饮：京津段：老北京烤鸭餐（30元），北京饺子宴（25元），北京自助餐（30元），品尝天津狗不理包子（25元）；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京津段：1、老北京堂会+黄包车200元/人；2、奥运杂技演出220元/人；3、天津极地海洋馆240元/人；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桐乡丝绸博物馆。（非传统购物店，如需购买请索取小票）车销不算购物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李如会</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2026/6/7 9:10:13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