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全季旅行团队/散客确认书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BJ106MF250708A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7月8日（独立小包）北京一地双飞6天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2025-07-08 MF8484 昆明→北京 13:10-16:20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2025-07-13 CA8647 北京→昆明 17:30-20:5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1、唐启忠</w:t>
            </w:r>
          </w:p>
        </w:tc>
        <w:tc>
          <w:tcPr>
            <w:tcW w:w="2310" w:type="dxa"/>
            <w:vAlign w:val="center"/>
            <w:gridSpan w:val="2"/>
          </w:tcPr>
          <w:p>
            <w:pPr/>
            <w:r>
              <w:rPr>
                <w:lang w:val="zh-CN"/>
                <w:rFonts w:ascii="Times New Roman" w:hAnsi="Times New Roman" w:cs="Times New Roman"/>
                <w:sz w:val="20"/>
                <w:szCs w:val="20"/>
                <w:color w:val="000000"/>
              </w:rPr>
              <w:t>530112196606142719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2、李翠仙</w:t>
            </w:r>
          </w:p>
        </w:tc>
        <w:tc>
          <w:tcPr>
            <w:tcW w:w="2310" w:type="dxa"/>
            <w:vAlign w:val="center"/>
            <w:gridSpan w:val="2"/>
          </w:tcPr>
          <w:p>
            <w:pPr/>
            <w:r>
              <w:rPr>
                <w:lang w:val="zh-CN"/>
                <w:rFonts w:ascii="Times New Roman" w:hAnsi="Times New Roman" w:cs="Times New Roman"/>
                <w:sz w:val="20"/>
                <w:szCs w:val="20"/>
                <w:color w:val="000000"/>
              </w:rPr>
              <w:t>530112196701112729</w:t>
            </w:r>
          </w:p>
        </w:tc>
        <w:tc>
          <w:tcPr>
            <w:tcW w:w="2310" w:type="dxa"/>
            <w:vAlign w:val="center"/>
          </w:tcPr>
          <w:p>
            <w:pPr/>
            <w:r>
              <w:rPr>
                <w:lang w:val="zh-CN"/>
                <w:rFonts w:ascii="Times New Roman" w:hAnsi="Times New Roman" w:cs="Times New Roman"/>
                <w:sz w:val="20"/>
                <w:szCs w:val="20"/>
                <w:color w:val="000000"/>
              </w:rPr>
              <w:t>15925149298</w:t>
            </w:r>
          </w:p>
        </w:tc>
      </w:tr>
      <w:tr>
        <w:tc>
          <w:tcPr>
            <w:tcW w:w="2310" w:type="dxa"/>
            <w:vAlign w:val="center"/>
          </w:tcPr>
          <w:p>
            <w:pPr/>
            <w:r>
              <w:rPr>
                <w:lang w:val="zh-CN"/>
                <w:rFonts w:ascii="Times New Roman" w:hAnsi="Times New Roman" w:cs="Times New Roman"/>
                <w:sz w:val="20"/>
                <w:szCs w:val="20"/>
                <w:color w:val="000000"/>
              </w:rPr>
              <w:t>3、严晶晶</w:t>
            </w:r>
          </w:p>
        </w:tc>
        <w:tc>
          <w:tcPr>
            <w:tcW w:w="2310" w:type="dxa"/>
            <w:vAlign w:val="center"/>
            <w:gridSpan w:val="2"/>
          </w:tcPr>
          <w:p>
            <w:pPr/>
            <w:r>
              <w:rPr>
                <w:lang w:val="zh-CN"/>
                <w:rFonts w:ascii="Times New Roman" w:hAnsi="Times New Roman" w:cs="Times New Roman"/>
                <w:sz w:val="20"/>
                <w:szCs w:val="20"/>
                <w:color w:val="000000"/>
              </w:rPr>
              <w:t>530112198707232720</w:t>
            </w:r>
          </w:p>
        </w:tc>
        <w:tc>
          <w:tcPr>
            <w:tcW w:w="2310" w:type="dxa"/>
            <w:vAlign w:val="center"/>
          </w:tcPr>
          <w:p>
            <w:pPr/>
            <w:r>
              <w:rPr>
                <w:lang w:val="zh-CN"/>
                <w:rFonts w:ascii="Times New Roman" w:hAnsi="Times New Roman" w:cs="Times New Roman"/>
                <w:sz w:val="20"/>
                <w:szCs w:val="20"/>
                <w:color w:val="000000"/>
              </w:rPr>
              <w:t>13888210849</w:t>
            </w:r>
          </w:p>
        </w:tc>
        <w:tc>
          <w:tcPr>
            <w:tcW w:w="2310" w:type="dxa"/>
            <w:vAlign w:val="center"/>
          </w:tcPr>
          <w:p>
            <w:pPr/>
            <w:r>
              <w:rPr>
                <w:lang w:val="zh-CN"/>
                <w:rFonts w:ascii="Times New Roman" w:hAnsi="Times New Roman" w:cs="Times New Roman"/>
                <w:sz w:val="20"/>
                <w:szCs w:val="20"/>
                <w:color w:val="000000"/>
              </w:rPr>
              <w:t>4、马志骏</w:t>
            </w:r>
          </w:p>
        </w:tc>
        <w:tc>
          <w:tcPr>
            <w:tcW w:w="2310" w:type="dxa"/>
            <w:vAlign w:val="center"/>
            <w:gridSpan w:val="2"/>
          </w:tcPr>
          <w:p>
            <w:pPr/>
            <w:r>
              <w:rPr>
                <w:lang w:val="zh-CN"/>
                <w:rFonts w:ascii="Times New Roman" w:hAnsi="Times New Roman" w:cs="Times New Roman"/>
                <w:sz w:val="20"/>
                <w:szCs w:val="20"/>
                <w:color w:val="000000"/>
              </w:rPr>
              <w:t>530112198701190558</w:t>
            </w:r>
          </w:p>
        </w:tc>
        <w:tc>
          <w:tcPr>
            <w:tcW w:w="2310" w:type="dxa"/>
            <w:vAlign w:val="center"/>
          </w:tcPr>
          <w:p>
            <w:pPr/>
            <w:r>
              <w:rPr>
                <w:lang w:val="zh-CN"/>
                <w:rFonts w:ascii="Times New Roman" w:hAnsi="Times New Roman" w:cs="Times New Roman"/>
                <w:sz w:val="20"/>
                <w:szCs w:val="20"/>
                <w:color w:val="000000"/>
              </w:rPr>
              <w:t>13888210849</w:t>
            </w:r>
          </w:p>
        </w:tc>
      </w:tr>
      <w:tr>
        <w:tc>
          <w:tcPr>
            <w:tcW w:w="2310" w:type="dxa"/>
            <w:vAlign w:val="center"/>
          </w:tcPr>
          <w:p>
            <w:pPr/>
            <w:r>
              <w:rPr>
                <w:lang w:val="zh-CN"/>
                <w:rFonts w:ascii="Times New Roman" w:hAnsi="Times New Roman" w:cs="Times New Roman"/>
                <w:sz w:val="20"/>
                <w:szCs w:val="20"/>
                <w:color w:val="000000"/>
              </w:rPr>
              <w:t>5、马泽玮</w:t>
            </w:r>
          </w:p>
        </w:tc>
        <w:tc>
          <w:tcPr>
            <w:tcW w:w="2310" w:type="dxa"/>
            <w:vAlign w:val="center"/>
            <w:gridSpan w:val="2"/>
          </w:tcPr>
          <w:p>
            <w:pPr/>
            <w:r>
              <w:rPr>
                <w:lang w:val="zh-CN"/>
                <w:rFonts w:ascii="Times New Roman" w:hAnsi="Times New Roman" w:cs="Times New Roman"/>
                <w:sz w:val="20"/>
                <w:szCs w:val="20"/>
                <w:color w:val="000000"/>
              </w:rPr>
              <w:t>530112201410264312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6、马泽璟</w:t>
            </w:r>
          </w:p>
        </w:tc>
        <w:tc>
          <w:tcPr>
            <w:tcW w:w="2310" w:type="dxa"/>
            <w:vAlign w:val="center"/>
            <w:gridSpan w:val="2"/>
          </w:tcPr>
          <w:p>
            <w:pPr/>
            <w:r>
              <w:rPr>
                <w:lang w:val="zh-CN"/>
                <w:rFonts w:ascii="Times New Roman" w:hAnsi="Times New Roman" w:cs="Times New Roman"/>
                <w:sz w:val="20"/>
                <w:szCs w:val="20"/>
                <w:color w:val="000000"/>
              </w:rPr>
              <w:t>530102201810317927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26400.00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5080.00</w:t>
            </w:r>
          </w:p>
        </w:tc>
        <w:tc>
          <w:tcPr>
            <w:tcW w:w="2310" w:type="dxa"/>
          </w:tcPr>
          <w:p>
            <w:pPr/>
            <w:r>
              <w:rPr>
                <w:lang w:val="zh-CN"/>
                <w:rFonts w:ascii="Times New Roman" w:hAnsi="Times New Roman" w:cs="Times New Roman"/>
                <w:sz w:val="20"/>
                <w:szCs w:val="20"/>
                <w:color w:val="000000"/>
              </w:rPr>
              <w:t>10160.00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总金额：叁万陆仟伍佰陆拾元整</w:t>
            </w:r>
          </w:p>
        </w:tc>
        <w:tc>
          <w:tcPr>
            <w:tcW w:w="2310" w:type="dxa"/>
            <w:textDirection w:val="right"/>
            <w:gridSpan w:val="3"/>
          </w:tcPr>
          <w:p>
            <w:pPr/>
            <w:r>
              <w:rPr>
                <w:lang w:val="zh-CN"/>
                <w:rFonts w:ascii="Times New Roman" w:hAnsi="Times New Roman" w:cs="Times New Roman"/>
                <w:b/>
                <w:color w:val="FF0000"/>
              </w:rPr>
              <w:t>36560.00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毛纪/故宫/什刹海/恭王府(巴士)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 xml:space="preserve"> 升旗/长城/科技馆/鸟巢水立方外观(巴士)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往【中国科技馆】（门票实行预约制，提前一周约票，如预约不上替换成其他景点）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奥林区克公园】（约30分钟) 【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 xml:space="preserve"> 天坛通票/颐和园/清华大学或北大入内(巴士)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入内。（如因学校政策原因无法入内，则取消参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 xml:space="preserve"> 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北京四钻酒店双人标准间，单房差费用自理。2、交通服务：昆明-北京往返飞机经济舱含税机票，当地空调旅游巴士。3、餐饮标准：行程所列5早，不含正餐，儿童不占床不含早4、门票服务：行程内所列各景点首道大门票（全程不退任何优免门票，敬请知悉）。5、儿童报价仅含往返机票，全程餐车，含半票、不占床。</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14:42:11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