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云南省省国旅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李万皊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13769163160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7-24 毕业季 北京+环球双飞6日（全季+希尔顿）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1、陈钦烨</w:t>
            </w:r>
          </w:p>
        </w:tc>
        <w:tc>
          <w:tcPr>
            <w:tcW w:w="2310" w:type="dxa"/>
            <w:vAlign w:val="center"/>
            <w:gridSpan w:val="2"/>
          </w:tcPr>
          <w:p>
            <w:pPr/>
            <w:r>
              <w:rPr>
                <w:lang w:val="zh-CN"/>
                <w:rFonts w:ascii="Times New Roman" w:hAnsi="Times New Roman" w:cs="Times New Roman"/>
                <w:sz w:val="20"/>
                <w:szCs w:val="20"/>
                <w:color w:val="000000"/>
              </w:rPr>
              <w:t>530602201712051819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2、赵丽霞</w:t>
            </w:r>
          </w:p>
        </w:tc>
        <w:tc>
          <w:tcPr>
            <w:tcW w:w="2310" w:type="dxa"/>
            <w:vAlign w:val="center"/>
            <w:gridSpan w:val="2"/>
          </w:tcPr>
          <w:p>
            <w:pPr/>
            <w:r>
              <w:rPr>
                <w:lang w:val="zh-CN"/>
                <w:rFonts w:ascii="Times New Roman" w:hAnsi="Times New Roman" w:cs="Times New Roman"/>
                <w:sz w:val="20"/>
                <w:szCs w:val="20"/>
                <w:color w:val="000000"/>
              </w:rPr>
              <w:t>532101197910201821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3、陈怡函</w:t>
            </w:r>
          </w:p>
        </w:tc>
        <w:tc>
          <w:tcPr>
            <w:tcW w:w="2310" w:type="dxa"/>
            <w:vAlign w:val="center"/>
            <w:gridSpan w:val="2"/>
          </w:tcPr>
          <w:p>
            <w:pPr/>
            <w:r>
              <w:rPr>
                <w:lang w:val="zh-CN"/>
                <w:rFonts w:ascii="Times New Roman" w:hAnsi="Times New Roman" w:cs="Times New Roman"/>
                <w:sz w:val="20"/>
                <w:szCs w:val="20"/>
                <w:color w:val="000000"/>
              </w:rPr>
              <w:t>53060201207181823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6730.00</w:t>
            </w:r>
          </w:p>
        </w:tc>
        <w:tc>
          <w:tcPr>
            <w:tcW w:w="2310" w:type="dxa"/>
          </w:tcPr>
          <w:p>
            <w:pPr/>
            <w:r>
              <w:rPr>
                <w:lang w:val="zh-CN"/>
                <w:rFonts w:ascii="Times New Roman" w:hAnsi="Times New Roman" w:cs="Times New Roman"/>
                <w:sz w:val="20"/>
                <w:szCs w:val="20"/>
                <w:color w:val="000000"/>
              </w:rPr>
              <w:t>13460.00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3-11岁不占床含门票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5330.00</w:t>
            </w:r>
          </w:p>
        </w:tc>
        <w:tc>
          <w:tcPr>
            <w:tcW w:w="2310" w:type="dxa"/>
          </w:tcPr>
          <w:p>
            <w:pPr/>
            <w:r>
              <w:rPr>
                <w:lang w:val="zh-CN"/>
                <w:rFonts w:ascii="Times New Roman" w:hAnsi="Times New Roman" w:cs="Times New Roman"/>
                <w:sz w:val="20"/>
                <w:szCs w:val="20"/>
                <w:color w:val="000000"/>
              </w:rPr>
              <w:t>5330.00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总金额：壹万捌仟柒佰玖拾元整</w:t>
            </w:r>
          </w:p>
        </w:tc>
        <w:tc>
          <w:tcPr>
            <w:tcW w:w="2310" w:type="dxa"/>
            <w:textDirection w:val="right"/>
            <w:gridSpan w:val="3"/>
          </w:tcPr>
          <w:p>
            <w:pPr/>
            <w:r>
              <w:rPr>
                <w:lang w:val="zh-CN"/>
                <w:rFonts w:ascii="Times New Roman" w:hAnsi="Times New Roman" w:cs="Times New Roman"/>
                <w:b/>
                <w:color w:val="FF0000"/>
              </w:rPr>
              <w:t>18790.00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100元/人，旅行社不承担任何责任）深度游览故宫，打卡延禧宫。午餐在刘老根山庄享用东北菜。前往【中国人民革命军事博物馆】或【首都博物馆】（如预约不上，替换成北京规划馆或其他博物馆或者补偿300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李万皊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2025/6/19 17:03:59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