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阿里巴巴张永丽</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张永丽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18388128911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BJ-QZY20250717B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7-17 京彩环球 北京+名校+环球影城双飞6日游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4(3大1小)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1、吕志辉</w:t>
            </w:r>
          </w:p>
        </w:tc>
        <w:tc>
          <w:tcPr>
            <w:tcW w:w="2310" w:type="dxa"/>
            <w:vAlign w:val="center"/>
            <w:gridSpan w:val="2"/>
          </w:tcPr>
          <w:p>
            <w:pPr/>
            <w:r>
              <w:rPr>
                <w:lang w:val="zh-CN"/>
                <w:rFonts w:ascii="Times New Roman" w:hAnsi="Times New Roman" w:cs="Times New Roman"/>
                <w:sz w:val="20"/>
                <w:szCs w:val="20"/>
                <w:color w:val="000000"/>
              </w:rPr>
              <w:t>532628196212250012</w:t>
            </w:r>
          </w:p>
        </w:tc>
        <w:tc>
          <w:tcPr>
            <w:tcW w:w="2310" w:type="dxa"/>
            <w:vAlign w:val="center"/>
          </w:tcPr>
          <w:p>
            <w:pPr/>
            <w:r>
              <w:rPr>
                <w:lang w:val="zh-CN"/>
                <w:rFonts w:ascii="Times New Roman" w:hAnsi="Times New Roman" w:cs="Times New Roman"/>
                <w:sz w:val="20"/>
                <w:szCs w:val="20"/>
                <w:color w:val="000000"/>
              </w:rPr>
              <w:t>13688723088</w:t>
            </w:r>
          </w:p>
        </w:tc>
        <w:tc>
          <w:tcPr>
            <w:tcW w:w="2310" w:type="dxa"/>
            <w:vAlign w:val="center"/>
          </w:tcPr>
          <w:p>
            <w:pPr/>
            <w:r>
              <w:rPr>
                <w:lang w:val="zh-CN"/>
                <w:rFonts w:ascii="Times New Roman" w:hAnsi="Times New Roman" w:cs="Times New Roman"/>
                <w:sz w:val="20"/>
                <w:szCs w:val="20"/>
                <w:color w:val="000000"/>
              </w:rPr>
              <w:t>2、黄秀春</w:t>
            </w:r>
          </w:p>
        </w:tc>
        <w:tc>
          <w:tcPr>
            <w:tcW w:w="2310" w:type="dxa"/>
            <w:vAlign w:val="center"/>
            <w:gridSpan w:val="2"/>
          </w:tcPr>
          <w:p>
            <w:pPr/>
            <w:r>
              <w:rPr>
                <w:lang w:val="zh-CN"/>
                <w:rFonts w:ascii="Times New Roman" w:hAnsi="Times New Roman" w:cs="Times New Roman"/>
                <w:sz w:val="20"/>
                <w:szCs w:val="20"/>
                <w:color w:val="000000"/>
              </w:rPr>
              <w:t>53262819821116172X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3、孙曜泽</w:t>
            </w:r>
          </w:p>
        </w:tc>
        <w:tc>
          <w:tcPr>
            <w:tcW w:w="2310" w:type="dxa"/>
            <w:vAlign w:val="center"/>
            <w:gridSpan w:val="2"/>
          </w:tcPr>
          <w:p>
            <w:pPr/>
            <w:r>
              <w:rPr>
                <w:lang w:val="zh-CN"/>
                <w:rFonts w:ascii="Times New Roman" w:hAnsi="Times New Roman" w:cs="Times New Roman"/>
                <w:sz w:val="20"/>
                <w:szCs w:val="20"/>
                <w:color w:val="000000"/>
              </w:rPr>
              <w:t>532628200803091737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4、吕佳</w:t>
            </w:r>
          </w:p>
        </w:tc>
        <w:tc>
          <w:tcPr>
            <w:tcW w:w="2310" w:type="dxa"/>
            <w:vAlign w:val="center"/>
            <w:gridSpan w:val="2"/>
          </w:tcPr>
          <w:p>
            <w:pPr/>
            <w:r>
              <w:rPr>
                <w:lang w:val="zh-CN"/>
                <w:rFonts w:ascii="Times New Roman" w:hAnsi="Times New Roman" w:cs="Times New Roman"/>
                <w:sz w:val="20"/>
                <w:szCs w:val="20"/>
                <w:color w:val="000000"/>
              </w:rPr>
              <w:t>532628201611230020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16740.00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4780.00</w:t>
            </w:r>
          </w:p>
        </w:tc>
        <w:tc>
          <w:tcPr>
            <w:tcW w:w="2310" w:type="dxa"/>
          </w:tcPr>
          <w:p>
            <w:pPr/>
            <w:r>
              <w:rPr>
                <w:lang w:val="zh-CN"/>
                <w:rFonts w:ascii="Times New Roman" w:hAnsi="Times New Roman" w:cs="Times New Roman"/>
                <w:sz w:val="20"/>
                <w:szCs w:val="20"/>
                <w:color w:val="000000"/>
              </w:rPr>
              <w:t>4780.00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总金额：贰万壹仟伍佰贰拾元整</w:t>
            </w:r>
          </w:p>
        </w:tc>
        <w:tc>
          <w:tcPr>
            <w:tcW w:w="2310" w:type="dxa"/>
            <w:textDirection w:val="right"/>
            <w:gridSpan w:val="3"/>
          </w:tcPr>
          <w:p>
            <w:pPr/>
            <w:r>
              <w:rPr>
                <w:lang w:val="zh-CN"/>
                <w:rFonts w:ascii="Times New Roman" w:hAnsi="Times New Roman" w:cs="Times New Roman"/>
                <w:b/>
                <w:color w:val="FF0000"/>
              </w:rPr>
              <w:t>21520.00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天安门→毛主席纪念堂→故宫→前门大街→什刹海→规划展览馆(巴士)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安排故宫耳麦+中轴线观光车）（周一闭馆，门票为预约制，如未预约上门票则改为参观恭王府或者退还门票60元/人，旅行社不承担责任）深度游览故宫，打卡延禧宫。参观游览非常著名的商业街【前门大街】，作为北京最具代表性的传统商业街之一，承载着丰富的历史文化底蕴，是游客探寻老北京风貌的必去之地。午餐后游览中国最美城区、“亚洲最佳风情胜地”【什刹海风景区】；漫步【老北京胡同】，途经什刹海酒吧风情街，观京城最高的古建筑之一【鼓楼】。前往参观【北京市规划展览馆】，位于东城区前门东大街20号，是在原有建筑基础上改造而成。改建后的展馆共分4层，分别以展板、灯箱、模型、图片、雕塑、立体电影等形式介绍、展示了北京悠久的历史和首都城市规划建设的伟大成就。是一处展示北京从历史上到现在的规划变迁的博物馆。来到这里可以了解北京城区历史上的样子和经过历代变迁发展到如今的过程，还能观看巨大的故宫和北京城全景微缩，值得前来参观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升旗→八达岭→飞跃长城→奥运演出→鸟巢水立方冰丝带(巴士)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奥林匹克公园位于城市传统中轴线的延伸，意喻中国千年历史文化的延续。特别赠送价值220元/人的奥运演出，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颐和园→天坛→圆明园→清华北大外景+学霸互动→名校参观(巴士)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约2小时），游览素有万园之园美誉的【圆明园遗址公园】（含通票）1860年10月圆明园惨遭英法联军、八国联军野蛮的劫掠焚毁及无数次毁灭和劫掠，一代名园最终沦为一片废墟。经过血与火的洗礼，圆明园犹如中国近代史的一部史册，撼人心魄。外观【清华大学】或【北京大学】门口拍照留念（不入内），并安排穿学士服拍照。前往清华科技园参与【清华北大学霸互动课程】游览清华科技园，学霸面对面互动学习交流；特别安排参观【北京外国语大学】或【北京地质大学】，并安排校内用餐及外教交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网评三钻酒店双人标准间，单房差费用自理。2、交通工具：昆明-北京往返飞机经济舱机票，当地空调旅游车，保证1人1正座。3、餐饮标准：行程所列5早6正，早餐酒店含，保证2-3个热早，出发时间早则安排打包早；全程社会餐厅，正餐餐标30-60不等，特别安排升级一餐【全聚德烤鸭餐】或宫廷便宜坊烤鸭+东来顺涮肉；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全程0自费，0景交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国家博物馆等景区均为实名预约制，且提前7天约票，如预约不上则故宫博物院替换为恭王府（或者退款60元/人），毛主席纪念堂则改为外观。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张永丽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2025/7/14 18:47:56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