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云南云迹奇缘杨艳波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杨艳波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15925233115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BJ-CGT20250814A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8-14优品京城北京天津双飞6日游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5(3大2小)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2025-08-14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2025-08-19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1、余懿秦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532901199201100641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2、杨建琨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53262619920217255X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3、杨骐嘉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532901201509114310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4、杨骐泽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53290120210729371X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5、谢聪萍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532901196905140664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  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杨艳波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2025/7/30 17:56:57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