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红河新飞扬国际旅行社陈勇</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13658846156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13888360750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HDQ06FJ250731A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0731-扬州夏日6天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2025-07-31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6(4大2小)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2025-07-31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2025-08-05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1、韦吉芹</w:t>
            </w:r>
          </w:p>
        </w:tc>
        <w:tc>
          <w:tcPr>
            <w:tcW w:w="2310" w:type="dxa"/>
            <w:vAlign w:val="center"/>
            <w:gridSpan w:val="2"/>
          </w:tcPr>
          <w:p>
            <w:pPr/>
            <w:r>
              <w:rPr>
                <w:lang w:val="zh-CN"/>
                <w:rFonts w:ascii="Times New Roman" w:hAnsi="Times New Roman" w:cs="Times New Roman"/>
                <w:sz w:val="20"/>
                <w:szCs w:val="20"/>
                <w:color w:val="000000"/>
              </w:rPr>
              <w:t>53352719910609184X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2、李小萍</w:t>
            </w:r>
          </w:p>
        </w:tc>
        <w:tc>
          <w:tcPr>
            <w:tcW w:w="2310" w:type="dxa"/>
            <w:vAlign w:val="center"/>
            <w:gridSpan w:val="2"/>
          </w:tcPr>
          <w:p>
            <w:pPr/>
            <w:r>
              <w:rPr>
                <w:lang w:val="zh-CN"/>
                <w:rFonts w:ascii="Times New Roman" w:hAnsi="Times New Roman" w:cs="Times New Roman"/>
                <w:sz w:val="20"/>
                <w:szCs w:val="20"/>
                <w:color w:val="000000"/>
              </w:rPr>
              <w:t>53352719660809182X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3、周韦笙</w:t>
            </w:r>
          </w:p>
        </w:tc>
        <w:tc>
          <w:tcPr>
            <w:tcW w:w="2310" w:type="dxa"/>
            <w:vAlign w:val="center"/>
            <w:gridSpan w:val="2"/>
          </w:tcPr>
          <w:p>
            <w:pPr/>
            <w:r>
              <w:rPr>
                <w:lang w:val="zh-CN"/>
                <w:rFonts w:ascii="Times New Roman" w:hAnsi="Times New Roman" w:cs="Times New Roman"/>
                <w:sz w:val="20"/>
                <w:szCs w:val="20"/>
                <w:color w:val="000000"/>
              </w:rPr>
              <w:t>530926201805211647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4、赵韦怡</w:t>
            </w:r>
          </w:p>
        </w:tc>
        <w:tc>
          <w:tcPr>
            <w:tcW w:w="2310" w:type="dxa"/>
            <w:vAlign w:val="center"/>
            <w:gridSpan w:val="2"/>
          </w:tcPr>
          <w:p>
            <w:pPr/>
            <w:r>
              <w:rPr>
                <w:lang w:val="zh-CN"/>
                <w:rFonts w:ascii="Times New Roman" w:hAnsi="Times New Roman" w:cs="Times New Roman"/>
                <w:sz w:val="20"/>
                <w:szCs w:val="20"/>
                <w:color w:val="000000"/>
              </w:rPr>
              <w:t>530926201807221646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5、韦昭静</w:t>
            </w:r>
          </w:p>
        </w:tc>
        <w:tc>
          <w:tcPr>
            <w:tcW w:w="2310" w:type="dxa"/>
            <w:vAlign w:val="center"/>
            <w:gridSpan w:val="2"/>
          </w:tcPr>
          <w:p>
            <w:pPr/>
            <w:r>
              <w:rPr>
                <w:lang w:val="zh-CN"/>
                <w:rFonts w:ascii="Times New Roman" w:hAnsi="Times New Roman" w:cs="Times New Roman"/>
                <w:sz w:val="20"/>
                <w:szCs w:val="20"/>
                <w:color w:val="000000"/>
              </w:rPr>
              <w:t>533527198905131823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6、周卫疆</w:t>
            </w:r>
          </w:p>
        </w:tc>
        <w:tc>
          <w:tcPr>
            <w:tcW w:w="2310" w:type="dxa"/>
            <w:vAlign w:val="center"/>
            <w:gridSpan w:val="2"/>
          </w:tcPr>
          <w:p>
            <w:pPr/>
            <w:r>
              <w:rPr>
                <w:lang w:val="zh-CN"/>
                <w:rFonts w:ascii="Times New Roman" w:hAnsi="Times New Roman" w:cs="Times New Roman"/>
                <w:sz w:val="20"/>
                <w:szCs w:val="20"/>
                <w:color w:val="000000"/>
              </w:rPr>
              <w:t>533527196509241626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3880.00</w:t>
            </w:r>
          </w:p>
        </w:tc>
        <w:tc>
          <w:tcPr>
            <w:tcW w:w="2310" w:type="dxa"/>
          </w:tcPr>
          <w:p>
            <w:pPr/>
            <w:r>
              <w:rPr>
                <w:lang w:val="zh-CN"/>
                <w:rFonts w:ascii="Times New Roman" w:hAnsi="Times New Roman" w:cs="Times New Roman"/>
                <w:sz w:val="20"/>
                <w:szCs w:val="20"/>
                <w:color w:val="000000"/>
              </w:rPr>
              <w:t>15520.00</w:t>
            </w:r>
          </w:p>
        </w:tc>
        <w:tc>
          <w:tcPr>
            <w:tcW w:w="2310" w:type="dxa"/>
            <w:gridSpan w:val="2"/>
          </w:tcPr>
          <w:p>
            <w:pPr/>
            <w:r>
              <w:rPr>
                <w:lang w:val="zh-CN"/>
                <w:rFonts w:ascii="Times New Roman" w:hAnsi="Times New Roman" w:cs="Times New Roman"/>
                <w:sz w:val="20"/>
                <w:szCs w:val="20"/>
                <w:color w:val="000000"/>
              </w:rPr>
              <w:t>4680-800</w:t>
            </w: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3380.00</w:t>
            </w:r>
          </w:p>
        </w:tc>
        <w:tc>
          <w:tcPr>
            <w:tcW w:w="2310" w:type="dxa"/>
          </w:tcPr>
          <w:p>
            <w:pPr/>
            <w:r>
              <w:rPr>
                <w:lang w:val="zh-CN"/>
                <w:rFonts w:ascii="Times New Roman" w:hAnsi="Times New Roman" w:cs="Times New Roman"/>
                <w:sz w:val="20"/>
                <w:szCs w:val="20"/>
                <w:color w:val="000000"/>
              </w:rPr>
              <w:t>6760.00</w:t>
            </w:r>
          </w:p>
        </w:tc>
        <w:tc>
          <w:tcPr>
            <w:tcW w:w="2310" w:type="dxa"/>
            <w:gridSpan w:val="2"/>
          </w:tcPr>
          <w:p>
            <w:pPr/>
            <w:r>
              <w:rPr>
                <w:lang w:val="zh-CN"/>
                <w:rFonts w:ascii="Times New Roman" w:hAnsi="Times New Roman" w:cs="Times New Roman"/>
                <w:sz w:val="20"/>
                <w:szCs w:val="20"/>
                <w:color w:val="000000"/>
              </w:rPr>
              <w:t>4180-800</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总金额：贰万贰仟贰佰捌拾元整</w:t>
            </w:r>
          </w:p>
        </w:tc>
        <w:tc>
          <w:tcPr>
            <w:tcW w:w="2310" w:type="dxa"/>
            <w:textDirection w:val="right"/>
            <w:gridSpan w:val="3"/>
          </w:tcPr>
          <w:p>
            <w:pPr/>
            <w:r>
              <w:rPr>
                <w:lang w:val="zh-CN"/>
                <w:rFonts w:ascii="Times New Roman" w:hAnsi="Times New Roman" w:cs="Times New Roman"/>
                <w:b/>
                <w:color w:val="FF0000"/>
              </w:rPr>
              <w:t>22280.00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个园--东关古街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出发前往上海，抵达后前往扬州（车程约5小时），【个园】中国四大名园之一，是典型的中国江南私家园林的杰出代表。清代嘉庆年间，两淮盐商商总黄至筠在明代“寿芝园”基础上扩建，因主人爱竹，且竹叶形似“个”字，故名“个园。扬州个园布局巧妙，尤其以叠石艺术闻名于园林界。它分别以笋石、湖石、黄石、宣石叠成的春夏秋冬四季假山，融造园法则与山水画理于一体，被园林泰斗陈从周先生誉为“国内孤例”。【扬州东关古街】，扬州城里最具有代表性的一条历史老街，当选中国十大历史文化名街，东关街拥有比较完整的明清建筑群及“鱼骨状”街巷体系，保持和沿袭了明清时期的传统风貌特色。它全长1122米，街内现有50多处名人故居、盐商大宅、寺庙园林、古树老井等重要历史遗存，仍是扬州的商业重地，传统色彩浓厚的手工艺、特色小吃和商业老字号集中地。东关街以前不仅是扬州水陆交通要冲，而且是商业、手工业和宗教文化中心。街面上市井繁华、商家林立，行当俱全，生意兴隆。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早餐：不含；午餐：含；晚餐：不含；住宿：扬州</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瘦西湖-中山陵-秦淮河夫子庙-夜游拈花湾(汽车)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游览我国伟大的先行者孙中山先生的长眠之处,国家级AAAAA级景区【中山陵】（游览参观时间约90分钟）：灵柩于1929年6月1日奉安于此。中山陵主要建筑排列在一条中轴线上，体现了中国传统建筑的风格。陵墓坐北朝南，墓地全局呈“警钟”形图案，其中祭堂为仿宫殿式的建筑，建有三道拱门，门楣上刻有“民族，民权，民生”横额。祭堂内放置孙中山先生大理石坐像，壁上刻有孙中山先生手书《建国大纲》全文。(如遇中山陵周一闭馆，只能游览景区前半段，请谅解）。温馨提示：中山陵实行实名制提前预约，由于散客拼团无法提前出计划和名单，如未预约成功，则安排游览雨花台或其他景区，请谅解。游集南京六朝文化和民俗市肆文化于一身的【秦淮河风光带-夫子庙商业街】(游览时间约60分钟)：秦淮河风光带，文德桥，乌衣巷，神州第一大照壁，感受“十里秦淮千年流淌，六朝胜地今更辉煌”。【夜游拈花湾】2025年春晚无锡分会场的重要取景地，是一座极富禅意的小镇。拈花湾的夜景，如梦如幻，仿佛将整个小镇笼罩在一片星光之下。这里的建筑、灯光与水景融为一体，营造出一种静谧而又神秘的氛围。整个小镇以唐宋风格的低矮仿古建筑为主，会让人有一秒穿越的感觉。拈花湾靠着太湖，且与灵山大佛相依，占地面积约1600亩。里面不仅有街道，还有湿地、花海和茶园。米白色的建筑上覆盖着青色的大坡顶，门窗和柱子多用木头制成，镇中点缀着小桥流水和园林小景，没有多么宏伟的伟大设计，但处处透露着千年以来沉淀的美。温馨提示：中山陵实行实名制提前预约，如未预约成功，则安排游览雨花台或其他景区，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拙政园--乌镇东栅(汽车)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AAAAA级景区，中国园林的经典之作【拙政园】，拙政园是苏州园林中最大、最著名的一座，全国特殊旅游参观点，被誉为“中国园林之母”，堪称中国私家园林经典。拙政园的建园艺术以水为中心，山水萦绕，厅榭精美，花木繁茂，充满诗情画意。其山、水、石、池、林、亭、堂融合的宛如天然。远香堂、鸳鸯厅、“与谁同坐轩”、涵青池、兰雪堂、林香楼等景点应接不暇。沿途欣赏盘门、胥门、金门、闾门等10座苏州古城门和风格不一的桥梁，许多桥洞下还配有精美的浮雕，船上还配有评弹演出，沿途讲解，领略苏州历史典故的同时，感受苏州古城的深厚文化内涵。推荐自费坐船游览【苏州古运河】（游览时间约90分钟，费用自理150元/人，含导服+车费）车赴桐乡（车程约30分钟），游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后车赴杭州（车程约2小时），安排杭州龙井御茶宴，享受杭州本地居民的休闲生活；推荐自费游览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西湖漫步、南京路外滩(汽车)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游览【西湖风景区】(游览时间不少于90分钟，乘游船环湖游西湖，费用55元/人自理，深度赏西湖之美，游船为景交，，儿童同成人价格，包含环湖游船以及导游讲解)，景区是一处以秀丽清雅的湖光山色与璀璨丰蕴的文物古迹和文化艺术交融一体的国家级风景名胜区，漫步苏堤，游览花港观鱼，远眺雷峰夕照，三潭印月，苏堤春晓，西湖十景等。游【外滩风光带】百年上海滩的标志和象征，万国建筑博览群、黄埔江风光。推荐自费欣赏大上海璀璨之景（游玩时间约120分钟，费用自理320元/人，含导服+车费）：登上海金贸大厦88层观光厅俯瞰大上海美景、乘坐豪华游轮欣赏浦江两岸华丽的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全天自由活动(汽车)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本天你可选择A套餐自由活动或者B套餐迪士尼或者C套餐乐高乐园 ；A、自由活动，整天自由活动，不含餐车导游服务。B、迪士尼代订门票（自行游览+不含车费导游餐服务）C、乐高乐园代订门票（自行游览+不含车费导游餐服务）迪士尼门票费用自理：1)成人和11岁以上儿童720元/人；2）3-11岁门票540元 ；若选择此项，请和团费一起付清；（仅供参考，以官方公布价格为准）【迪士尼乐园】：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需持身份证原件排队入园。不满16岁需由成人陪同入园！乐高乐园门票费用自理：1)成人和12岁以上儿童550元/人；2）2-12岁门票440元 ； 若选择此项，请和团费一起付清；（仅供参考，以官方公布价格为准）【乐高乐园】专为2-12岁儿童打造，拥有超75个互动骑乘设施、表演和玩乐景点，以及由超8500万块乐高积木拼搭的2889个乐高模型2025年7月5日，正式开园。除了飞龙过山车、驾驶学校、乐高城市机场、救援学院、船上水枪战等全球乐高乐园人气或经典项目，还拥有全球首发的“乐高乐园创想世界”主题片区；为上海乐高乐园独家设计的主题片区“乐高悟空小侠”；“乐高乐园游船”让游客们体验用乐高元素复刻的江南水乡；全球首个中国独家设计的大型室内迷你天地景观展示以及光影秀；乐高乐园历史之最的巨型人仔——搭搭；可以俯瞰全园，高达约60米的乐高乐园观光塔；全球首发的悟空小侠舞台剧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复旦大学-四行仓库-一大会址-昆明(飞机)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参观【一大会址纪念馆】中国共产党“一大”会址纪念馆位于上海市区黄陂南路374号（原法租界望志路树德里106号）。纪念馆的“一大”原址是两栋砖木结构的两层石库门楼房（上海20年代的典型民居），一栋是一大代表李汉俊的家宅，另一栋是一大代表在上海的住所——文博女校。【四行仓库】是一座钢筋混凝土建筑，位于苏州河北岸，是当时闸北地区最高的建筑之一。谢晋元率部进驻后，迅速加固防御工事，利用仓库内的物资堵住门窗，留出射击孔。谢晋元率领420名“八百壮士”死守四行仓库。敢死队员陈树生身绑手榴弹跃入敌群，以血肉之躯炸毁日军爆破点。四昼夜激战击退十余次进攻，毙伤日军200余人，用壮烈牺牲唤醒民族斗志，向世界昭示“中国不可亡”的铮铮铁骨。前往机场，乘机返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大交通：昆明/上海，上海/昆明往返经济舱含税机票，不指定航班。2、门票：行程中所列景点首道门票；不含景区小交通及交通车等费用。3、住宿：网评3钻酒店同等级标间。报价是按照2人入住1间房计算，如团中未有同性游客拼住，还是会产生单房差费用。如您要求享受单房，请选择补交单人房差。5、用餐：5早8正，酒店自助早餐不用不退，正餐餐标30元/人，儿童不占床不含早餐。6、用车：跟团期间的用车费用，按照实际参团人数安排交通车辆，座位次序为随机分配，不分先后，保证1人1正座，自由活动期间不包含用车。7、导游：当地中文导游服务，（接驳期间或自由活动期间不含导游服务）无全陪服务。8、儿童：3岁以下儿童：含半价正餐、含导游服务费、含车位费。不含门票不占床不含早餐。3-11岁儿童：含半价正餐、含导游服务费、含车位费，含半价门票，不占床不含早餐。</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需自理：1、杭州宋城320元/人，2、上海夜景320元/人、3、苏州古运河游船150元/人自费景交，需自理：杭州西湖游船55元/人自费说明自费景点、不强制，自愿选择。凡是参加自费项目的团员所有的优惠证件不予以使用（如老年证、学生证、教师证等）。不参加自费的游客，请在景区附近自由活动或休息，等待参加自费的团友游览结束后一起返回酒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复旦大学、中山陵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陈勇</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王美</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2025/7/29 12:24:49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