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众信/赵雪红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赵雪红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19987774302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8-4全家总动员 北京环球6天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4(2大2小)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1、计丽芳</w:t>
            </w:r>
          </w:p>
        </w:tc>
        <w:tc>
          <w:tcPr>
            <w:tcW w:w="2310" w:type="dxa"/>
            <w:vAlign w:val="center"/>
            <w:gridSpan w:val="2"/>
          </w:tcPr>
          <w:p>
            <w:pPr/>
            <w:r>
              <w:rPr>
                <w:lang w:val="zh-CN"/>
                <w:rFonts w:ascii="Times New Roman" w:hAnsi="Times New Roman" w:cs="Times New Roman"/>
                <w:sz w:val="20"/>
                <w:szCs w:val="20"/>
                <w:color w:val="000000"/>
              </w:rPr>
              <w:t>530427198311230527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2、吴计瑶</w:t>
            </w:r>
          </w:p>
        </w:tc>
        <w:tc>
          <w:tcPr>
            <w:tcW w:w="2310" w:type="dxa"/>
            <w:vAlign w:val="center"/>
            <w:gridSpan w:val="2"/>
          </w:tcPr>
          <w:p>
            <w:pPr/>
            <w:r>
              <w:rPr>
                <w:lang w:val="zh-CN"/>
                <w:rFonts w:ascii="Times New Roman" w:hAnsi="Times New Roman" w:cs="Times New Roman"/>
                <w:sz w:val="20"/>
                <w:szCs w:val="20"/>
                <w:color w:val="000000"/>
              </w:rPr>
              <w:t>530427201209130022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3、吴仕雄</w:t>
            </w:r>
          </w:p>
        </w:tc>
        <w:tc>
          <w:tcPr>
            <w:tcW w:w="2310" w:type="dxa"/>
            <w:vAlign w:val="center"/>
            <w:gridSpan w:val="2"/>
          </w:tcPr>
          <w:p>
            <w:pPr/>
            <w:r>
              <w:rPr>
                <w:lang w:val="zh-CN"/>
                <w:rFonts w:ascii="Times New Roman" w:hAnsi="Times New Roman" w:cs="Times New Roman"/>
                <w:sz w:val="20"/>
                <w:szCs w:val="20"/>
                <w:color w:val="000000"/>
              </w:rPr>
              <w:t>532428198011270314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5780.00</w:t>
            </w:r>
          </w:p>
        </w:tc>
        <w:tc>
          <w:tcPr>
            <w:tcW w:w="2310" w:type="dxa"/>
          </w:tcPr>
          <w:p>
            <w:pPr/>
            <w:r>
              <w:rPr>
                <w:lang w:val="zh-CN"/>
                <w:rFonts w:ascii="Times New Roman" w:hAnsi="Times New Roman" w:cs="Times New Roman"/>
                <w:sz w:val="20"/>
                <w:szCs w:val="20"/>
                <w:color w:val="000000"/>
              </w:rPr>
              <w:t>11560.00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4680.00</w:t>
            </w:r>
          </w:p>
        </w:tc>
        <w:tc>
          <w:tcPr>
            <w:tcW w:w="2310" w:type="dxa"/>
          </w:tcPr>
          <w:p>
            <w:pPr/>
            <w:r>
              <w:rPr>
                <w:lang w:val="zh-CN"/>
                <w:rFonts w:ascii="Times New Roman" w:hAnsi="Times New Roman" w:cs="Times New Roman"/>
                <w:sz w:val="20"/>
                <w:szCs w:val="20"/>
                <w:color w:val="000000"/>
              </w:rPr>
              <w:t>9360.00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总金额：贰万零玖佰贰拾元整</w:t>
            </w:r>
          </w:p>
        </w:tc>
        <w:tc>
          <w:tcPr>
            <w:tcW w:w="2310" w:type="dxa"/>
            <w:textDirection w:val="right"/>
            <w:gridSpan w:val="3"/>
          </w:tcPr>
          <w:p>
            <w:pPr/>
            <w:r>
              <w:rPr>
                <w:lang w:val="zh-CN"/>
                <w:rFonts w:ascii="Times New Roman" w:hAnsi="Times New Roman" w:cs="Times New Roman"/>
                <w:b/>
                <w:color w:val="FF0000"/>
              </w:rPr>
              <w:t>20920.00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赵雪红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2025/7/23 11:39:33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